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5B008" w14:textId="77777777" w:rsidR="00CD4735" w:rsidRPr="00615D1D" w:rsidRDefault="00CD4735" w:rsidP="00CD4735">
      <w:pPr>
        <w:pStyle w:val="MStitle"/>
        <w:rPr>
          <w:sz w:val="40"/>
        </w:rPr>
      </w:pPr>
      <w:r>
        <w:t xml:space="preserve">Observation Based </w:t>
      </w:r>
      <w:r w:rsidRPr="00615D1D">
        <w:t xml:space="preserve">Budget and Lifetime of Excess Atmospheric Carbon </w:t>
      </w:r>
      <w:r>
        <w:t>Dioxide</w:t>
      </w:r>
    </w:p>
    <w:p w14:paraId="249EF913" w14:textId="52DC02B7" w:rsidR="00AD6FBD" w:rsidRPr="00615D1D" w:rsidRDefault="00AD6FBD" w:rsidP="00AD6FBD">
      <w:pPr>
        <w:pStyle w:val="MStitle"/>
        <w:rPr>
          <w:sz w:val="40"/>
        </w:rPr>
      </w:pPr>
      <w:r>
        <w:t>Supporting Information</w:t>
      </w:r>
    </w:p>
    <w:p w14:paraId="66591527" w14:textId="4ED9654E" w:rsidR="00AD6FBD" w:rsidRPr="00C26311" w:rsidRDefault="00AD6FBD" w:rsidP="00AD6FBD">
      <w:pPr>
        <w:pStyle w:val="Authors"/>
      </w:pPr>
      <w:r>
        <w:t>Stephen E. Schwartz</w:t>
      </w:r>
    </w:p>
    <w:p w14:paraId="028D5CD4" w14:textId="5F4A68B2" w:rsidR="00AD6FBD" w:rsidRPr="00DF5336" w:rsidRDefault="00AD6FBD" w:rsidP="00AD6FBD">
      <w:pPr>
        <w:pStyle w:val="Affiliation"/>
      </w:pPr>
      <w:r w:rsidRPr="00DF5336">
        <w:t>Environmental and Climate Sciences Department, Brookhaven National Laboratory</w:t>
      </w:r>
      <w:r w:rsidR="00061620">
        <w:t xml:space="preserve">, </w:t>
      </w:r>
      <w:r w:rsidRPr="00DF5336">
        <w:t>P. O. Box 5000, Upton NY 11973</w:t>
      </w:r>
      <w:r>
        <w:t xml:space="preserve"> USA</w:t>
      </w:r>
    </w:p>
    <w:p w14:paraId="042ED476" w14:textId="77777777" w:rsidR="00AD6FBD" w:rsidRDefault="00AD6FBD" w:rsidP="00AD6FBD">
      <w:pPr>
        <w:pStyle w:val="Correspondence"/>
      </w:pPr>
      <w:r w:rsidRPr="000A1B66">
        <w:rPr>
          <w:i/>
        </w:rPr>
        <w:t>Correspondence to</w:t>
      </w:r>
      <w:r>
        <w:t>: Stephen E. Schwartz (ses@bnl.gov)</w:t>
      </w:r>
    </w:p>
    <w:p w14:paraId="4C8C3021" w14:textId="742A585B" w:rsidR="00EB04A2" w:rsidRPr="006668E1" w:rsidRDefault="00EB04A2" w:rsidP="00EB04A2">
      <w:pPr>
        <w:pStyle w:val="hdr"/>
        <w:rPr>
          <w:rFonts w:ascii="Times" w:hAnsi="Times"/>
        </w:rPr>
      </w:pPr>
      <w:r w:rsidRPr="006668E1">
        <w:rPr>
          <w:rFonts w:ascii="Times" w:hAnsi="Times"/>
        </w:rPr>
        <w:t>S1. Abrupt cessation profiles shown in Figure 1</w:t>
      </w:r>
      <w:r w:rsidR="00061620">
        <w:rPr>
          <w:rFonts w:ascii="Times" w:hAnsi="Times"/>
        </w:rPr>
        <w:t xml:space="preserve"> of main text.</w:t>
      </w:r>
    </w:p>
    <w:p w14:paraId="391F474B" w14:textId="20E85C58" w:rsidR="00EB04A2" w:rsidRDefault="00EB04A2" w:rsidP="00EB04A2">
      <w:pPr>
        <w:pStyle w:val="text"/>
      </w:pPr>
      <w:r>
        <w:rPr>
          <w:spacing w:val="-8"/>
        </w:rPr>
        <w:t>The c</w:t>
      </w:r>
      <w:r w:rsidRPr="00726E8E">
        <w:rPr>
          <w:spacing w:val="-8"/>
        </w:rPr>
        <w:t xml:space="preserve">onditions of the studies </w:t>
      </w:r>
      <w:r>
        <w:rPr>
          <w:spacing w:val="-8"/>
        </w:rPr>
        <w:t>yielding decay profiles of excess atmospheric CO</w:t>
      </w:r>
      <w:r w:rsidRPr="00542FC3">
        <w:rPr>
          <w:spacing w:val="-8"/>
          <w:position w:val="-4"/>
        </w:rPr>
        <w:t>2</w:t>
      </w:r>
      <w:r>
        <w:rPr>
          <w:spacing w:val="-8"/>
        </w:rPr>
        <w:t xml:space="preserve"> subsequent to abrupt cessation shown in </w:t>
      </w:r>
      <w:r w:rsidR="00061620">
        <w:rPr>
          <w:b/>
          <w:spacing w:val="-8"/>
        </w:rPr>
        <w:t>Fig.</w:t>
      </w:r>
      <w:r w:rsidRPr="00F96BD8">
        <w:rPr>
          <w:b/>
          <w:spacing w:val="-8"/>
        </w:rPr>
        <w:t xml:space="preserve"> 1</w:t>
      </w:r>
      <w:r>
        <w:rPr>
          <w:spacing w:val="-8"/>
        </w:rPr>
        <w:t xml:space="preserve"> </w:t>
      </w:r>
      <w:r w:rsidR="00061620">
        <w:rPr>
          <w:spacing w:val="-8"/>
        </w:rPr>
        <w:t xml:space="preserve">of main text </w:t>
      </w:r>
      <w:r w:rsidRPr="00726E8E">
        <w:rPr>
          <w:spacing w:val="-8"/>
        </w:rPr>
        <w:t xml:space="preserve">are summarized in </w:t>
      </w:r>
      <w:r w:rsidRPr="00F96BD8">
        <w:rPr>
          <w:b/>
          <w:spacing w:val="-8"/>
        </w:rPr>
        <w:t>Table S1.1</w:t>
      </w:r>
    </w:p>
    <w:p w14:paraId="7FFED1E6" w14:textId="5AE5BE78" w:rsidR="00EB04A2" w:rsidRPr="00AD6FBD" w:rsidRDefault="00EB04A2" w:rsidP="00EB04A2">
      <w:pPr>
        <w:pStyle w:val="FigureorTableCaption"/>
        <w:keepNext/>
        <w:spacing w:before="200"/>
        <w:rPr>
          <w:sz w:val="20"/>
        </w:rPr>
      </w:pPr>
      <w:r w:rsidRPr="00AD6FBD">
        <w:rPr>
          <w:b/>
          <w:sz w:val="20"/>
        </w:rPr>
        <w:t>Table S1.1</w:t>
      </w:r>
      <w:r w:rsidRPr="00AD6FBD">
        <w:rPr>
          <w:sz w:val="20"/>
        </w:rPr>
        <w:t xml:space="preserve">. </w:t>
      </w:r>
      <w:r w:rsidR="00A40F6E">
        <w:rPr>
          <w:sz w:val="20"/>
        </w:rPr>
        <w:t>Prior m</w:t>
      </w:r>
      <w:r w:rsidRPr="00AD6FBD">
        <w:rPr>
          <w:sz w:val="20"/>
        </w:rPr>
        <w:t>odel calculations examining mixing ratio of atmospheric CO</w:t>
      </w:r>
      <w:r w:rsidRPr="00AD6FBD">
        <w:rPr>
          <w:position w:val="-4"/>
          <w:sz w:val="16"/>
        </w:rPr>
        <w:t>2</w:t>
      </w:r>
      <w:r w:rsidRPr="00AD6FBD">
        <w:rPr>
          <w:sz w:val="20"/>
        </w:rPr>
        <w:t xml:space="preserve"> following abrupt cessation of emissions, for which fractional decay profiles are shown in </w:t>
      </w:r>
      <w:r w:rsidR="00061620">
        <w:rPr>
          <w:b/>
          <w:sz w:val="20"/>
        </w:rPr>
        <w:t>Fig.</w:t>
      </w:r>
      <w:r w:rsidRPr="00AD6FBD">
        <w:rPr>
          <w:b/>
          <w:sz w:val="20"/>
        </w:rPr>
        <w:t xml:space="preserve"> 1</w:t>
      </w:r>
      <w:r w:rsidRPr="00AD6FBD">
        <w:rPr>
          <w:sz w:val="20"/>
        </w:rPr>
        <w:t xml:space="preserve"> of the main text. </w:t>
      </w:r>
    </w:p>
    <w:p w14:paraId="6DC75399" w14:textId="77777777" w:rsidR="00EB04A2" w:rsidRDefault="00EB04A2" w:rsidP="00EB04A2">
      <w:pPr>
        <w:pStyle w:val="FigureorTableCaption"/>
        <w:keepNext/>
        <w:spacing w:line="200" w:lineRule="exact"/>
      </w:pPr>
    </w:p>
    <w:tbl>
      <w:tblPr>
        <w:tblW w:w="9810" w:type="dxa"/>
        <w:tblInd w:w="378" w:type="dxa"/>
        <w:tblLook w:val="00A0" w:firstRow="1" w:lastRow="0" w:firstColumn="1" w:lastColumn="0" w:noHBand="0" w:noVBand="0"/>
      </w:tblPr>
      <w:tblGrid>
        <w:gridCol w:w="3420"/>
        <w:gridCol w:w="6390"/>
      </w:tblGrid>
      <w:tr w:rsidR="00EB04A2" w:rsidRPr="006A289A" w14:paraId="4EFBB89B" w14:textId="77777777" w:rsidTr="00E93341">
        <w:tc>
          <w:tcPr>
            <w:tcW w:w="3420" w:type="dxa"/>
            <w:tcBorders>
              <w:top w:val="single" w:sz="4" w:space="0" w:color="000000"/>
              <w:bottom w:val="single" w:sz="4" w:space="0" w:color="000000"/>
            </w:tcBorders>
          </w:tcPr>
          <w:p w14:paraId="12DEF5EB" w14:textId="77777777" w:rsidR="00EB04A2" w:rsidRPr="001D7D4A" w:rsidRDefault="00EB04A2" w:rsidP="00AD6FBD">
            <w:pPr>
              <w:pStyle w:val="text"/>
              <w:keepNext/>
              <w:keepLines/>
              <w:spacing w:before="60" w:after="60" w:line="240" w:lineRule="exact"/>
            </w:pPr>
            <w:r w:rsidRPr="001D7D4A">
              <w:t>Reference</w:t>
            </w:r>
          </w:p>
        </w:tc>
        <w:tc>
          <w:tcPr>
            <w:tcW w:w="6390" w:type="dxa"/>
            <w:tcBorders>
              <w:top w:val="single" w:sz="4" w:space="0" w:color="000000"/>
              <w:bottom w:val="single" w:sz="4" w:space="0" w:color="000000"/>
            </w:tcBorders>
          </w:tcPr>
          <w:p w14:paraId="0E8CEA0D" w14:textId="77777777" w:rsidR="00EB04A2" w:rsidRPr="006C5AC2" w:rsidRDefault="00EB04A2" w:rsidP="00AD6FBD">
            <w:pPr>
              <w:pStyle w:val="text"/>
              <w:keepNext/>
              <w:keepLines/>
              <w:spacing w:before="60" w:after="60" w:line="240" w:lineRule="exact"/>
            </w:pPr>
            <w:r w:rsidRPr="006C5AC2">
              <w:t>Conditions and data sources</w:t>
            </w:r>
          </w:p>
        </w:tc>
      </w:tr>
      <w:tr w:rsidR="00EB04A2" w:rsidRPr="006A289A" w14:paraId="54D0F900" w14:textId="77777777" w:rsidTr="00E93341">
        <w:tc>
          <w:tcPr>
            <w:tcW w:w="3420" w:type="dxa"/>
            <w:tcBorders>
              <w:top w:val="single" w:sz="4" w:space="0" w:color="000000"/>
            </w:tcBorders>
          </w:tcPr>
          <w:p w14:paraId="29E601E1" w14:textId="77777777" w:rsidR="00EB04A2" w:rsidRPr="001D7D4A" w:rsidRDefault="00EB04A2" w:rsidP="00AD6FBD">
            <w:pPr>
              <w:pStyle w:val="text"/>
              <w:keepNext/>
              <w:keepLines/>
              <w:spacing w:before="60" w:after="60" w:line="240" w:lineRule="exact"/>
              <w:jc w:val="left"/>
            </w:pPr>
            <w:r w:rsidRPr="001D7D4A">
              <w:t xml:space="preserve">Allen </w:t>
            </w:r>
            <w:r w:rsidRPr="00061620">
              <w:t>et al</w:t>
            </w:r>
            <w:r w:rsidRPr="001D7D4A">
              <w:t>., 2009</w:t>
            </w:r>
          </w:p>
        </w:tc>
        <w:tc>
          <w:tcPr>
            <w:tcW w:w="6390" w:type="dxa"/>
            <w:tcBorders>
              <w:top w:val="single" w:sz="4" w:space="0" w:color="000000"/>
            </w:tcBorders>
          </w:tcPr>
          <w:p w14:paraId="77E2D9F8" w14:textId="77777777" w:rsidR="00EB04A2" w:rsidRPr="006C5AC2" w:rsidRDefault="00EB04A2" w:rsidP="00AD6FBD">
            <w:pPr>
              <w:pStyle w:val="text"/>
              <w:keepNext/>
              <w:keepLines/>
              <w:spacing w:before="60" w:after="60" w:line="240" w:lineRule="exact"/>
            </w:pPr>
            <w:r w:rsidRPr="006C5AC2">
              <w:t xml:space="preserve">360 ppm.; Fig. S3 </w:t>
            </w:r>
            <w:r w:rsidRPr="006C5AC2">
              <w:rPr>
                <w:i/>
              </w:rPr>
              <w:t>b</w:t>
            </w:r>
            <w:r w:rsidRPr="006C5AC2">
              <w:t xml:space="preserve">. </w:t>
            </w:r>
          </w:p>
        </w:tc>
      </w:tr>
      <w:tr w:rsidR="00EB04A2" w:rsidRPr="006A289A" w14:paraId="1A95B118" w14:textId="77777777" w:rsidTr="00E93341">
        <w:tc>
          <w:tcPr>
            <w:tcW w:w="3420" w:type="dxa"/>
          </w:tcPr>
          <w:p w14:paraId="6FED6338" w14:textId="7803684C" w:rsidR="00EB04A2" w:rsidRPr="001D7D4A" w:rsidRDefault="00EB04A2" w:rsidP="00AD6FBD">
            <w:pPr>
              <w:pStyle w:val="text"/>
              <w:keepNext/>
              <w:keepLines/>
              <w:spacing w:before="60" w:after="60" w:line="240" w:lineRule="exact"/>
              <w:jc w:val="left"/>
            </w:pPr>
            <w:r w:rsidRPr="001D7D4A">
              <w:t xml:space="preserve">Zickfeld </w:t>
            </w:r>
            <w:r w:rsidR="00061620">
              <w:t>et al</w:t>
            </w:r>
            <w:r w:rsidR="00061620">
              <w:rPr>
                <w:rFonts w:ascii="Times" w:eastAsia="宋体" w:hAnsi="Times"/>
                <w:lang w:val="en-US" w:eastAsia="en-US"/>
              </w:rPr>
              <w:t xml:space="preserve"> </w:t>
            </w:r>
            <w:r w:rsidRPr="001D7D4A">
              <w:t>., 2013</w:t>
            </w:r>
          </w:p>
        </w:tc>
        <w:tc>
          <w:tcPr>
            <w:tcW w:w="6390" w:type="dxa"/>
          </w:tcPr>
          <w:p w14:paraId="01043C9B" w14:textId="77777777" w:rsidR="00EB04A2" w:rsidRPr="006C5AC2" w:rsidRDefault="00EB04A2" w:rsidP="00AD6FBD">
            <w:pPr>
              <w:pStyle w:val="text"/>
              <w:keepNext/>
              <w:keepLines/>
              <w:spacing w:before="60" w:after="60" w:line="240" w:lineRule="exact"/>
            </w:pPr>
            <w:r w:rsidRPr="006C5AC2">
              <w:t>Ensemble average and range of 12 models; 750 ppm. Fig</w:t>
            </w:r>
            <w:r>
              <w:t>.</w:t>
            </w:r>
            <w:r w:rsidRPr="006C5AC2">
              <w:t xml:space="preserve"> 6 </w:t>
            </w:r>
            <w:r w:rsidRPr="006C5AC2">
              <w:rPr>
                <w:i/>
              </w:rPr>
              <w:t>b</w:t>
            </w:r>
            <w:r w:rsidRPr="006C5AC2">
              <w:t>.</w:t>
            </w:r>
          </w:p>
        </w:tc>
      </w:tr>
      <w:tr w:rsidR="00EB04A2" w:rsidRPr="006A289A" w14:paraId="640EC944" w14:textId="77777777" w:rsidTr="00E93341">
        <w:trPr>
          <w:cantSplit/>
        </w:trPr>
        <w:tc>
          <w:tcPr>
            <w:tcW w:w="3420" w:type="dxa"/>
          </w:tcPr>
          <w:p w14:paraId="7BB7B4B1" w14:textId="77777777" w:rsidR="00EB04A2" w:rsidRPr="001D7D4A" w:rsidRDefault="00EB04A2" w:rsidP="00AD6FBD">
            <w:pPr>
              <w:pStyle w:val="text"/>
              <w:keepNext/>
              <w:keepLines/>
              <w:spacing w:before="60" w:after="60" w:line="240" w:lineRule="exact"/>
              <w:jc w:val="left"/>
            </w:pPr>
            <w:r w:rsidRPr="001D7D4A">
              <w:t>Matthews and Caldeira, 2008</w:t>
            </w:r>
          </w:p>
        </w:tc>
        <w:tc>
          <w:tcPr>
            <w:tcW w:w="6390" w:type="dxa"/>
          </w:tcPr>
          <w:p w14:paraId="519BE0E0" w14:textId="77777777" w:rsidR="00EB04A2" w:rsidRPr="006C5AC2" w:rsidRDefault="00EB04A2" w:rsidP="00AD6FBD">
            <w:pPr>
              <w:pStyle w:val="text"/>
              <w:keepNext/>
              <w:keepLines/>
              <w:spacing w:before="60" w:after="60" w:line="240" w:lineRule="exact"/>
            </w:pPr>
            <w:r>
              <w:t>Direct calculations, Fig. 2,</w:t>
            </w:r>
            <w:r w:rsidRPr="006C5AC2">
              <w:t xml:space="preserve"> and impulse response functi</w:t>
            </w:r>
            <w:r>
              <w:t xml:space="preserve">ons, </w:t>
            </w:r>
            <w:r w:rsidRPr="006C5AC2">
              <w:t>Fig.</w:t>
            </w:r>
            <w:r>
              <w:t> 1,</w:t>
            </w:r>
            <w:r w:rsidRPr="006C5AC2">
              <w:t xml:space="preserve"> for cumulative or pulse emissions 2000 and 5000 </w:t>
            </w:r>
            <w:r>
              <w:t>Pg</w:t>
            </w:r>
            <w:r w:rsidRPr="006C5AC2">
              <w:t>.</w:t>
            </w:r>
          </w:p>
        </w:tc>
      </w:tr>
      <w:tr w:rsidR="00EB04A2" w:rsidRPr="006A289A" w14:paraId="15CF0668" w14:textId="77777777" w:rsidTr="00E93341">
        <w:tc>
          <w:tcPr>
            <w:tcW w:w="3420" w:type="dxa"/>
          </w:tcPr>
          <w:p w14:paraId="264C1204" w14:textId="1628AED8" w:rsidR="00EB04A2" w:rsidRPr="001D7D4A" w:rsidRDefault="00EB04A2" w:rsidP="00AD6FBD">
            <w:pPr>
              <w:pStyle w:val="text"/>
              <w:keepNext/>
              <w:keepLines/>
              <w:spacing w:before="60" w:after="60" w:line="240" w:lineRule="exact"/>
              <w:jc w:val="left"/>
            </w:pPr>
            <w:r w:rsidRPr="001D7D4A">
              <w:t xml:space="preserve">Plattner </w:t>
            </w:r>
            <w:r w:rsidR="00061620">
              <w:t>et al</w:t>
            </w:r>
            <w:r w:rsidR="00061620">
              <w:rPr>
                <w:rFonts w:ascii="Times" w:eastAsia="宋体" w:hAnsi="Times"/>
                <w:lang w:val="en-US" w:eastAsia="en-US"/>
              </w:rPr>
              <w:t xml:space="preserve"> </w:t>
            </w:r>
            <w:r w:rsidRPr="001D7D4A">
              <w:t>., 2008</w:t>
            </w:r>
          </w:p>
        </w:tc>
        <w:tc>
          <w:tcPr>
            <w:tcW w:w="6390" w:type="dxa"/>
          </w:tcPr>
          <w:p w14:paraId="4F5BF4E6" w14:textId="77777777" w:rsidR="00EB04A2" w:rsidRPr="006C5AC2" w:rsidRDefault="00EB04A2" w:rsidP="00AD6FBD">
            <w:pPr>
              <w:pStyle w:val="text"/>
              <w:keepNext/>
              <w:keepLines/>
              <w:spacing w:before="60" w:after="60" w:line="240" w:lineRule="exact"/>
            </w:pPr>
            <w:r w:rsidRPr="006C5AC2">
              <w:t xml:space="preserve">650 ppm; Fig. 5 </w:t>
            </w:r>
            <w:r w:rsidRPr="006C5AC2">
              <w:rPr>
                <w:i/>
              </w:rPr>
              <w:t>b</w:t>
            </w:r>
            <w:r w:rsidRPr="006C5AC2">
              <w:t xml:space="preserve">. </w:t>
            </w:r>
          </w:p>
        </w:tc>
      </w:tr>
      <w:tr w:rsidR="00EB04A2" w:rsidRPr="006A289A" w14:paraId="5DD90C99" w14:textId="77777777" w:rsidTr="00E93341">
        <w:tc>
          <w:tcPr>
            <w:tcW w:w="3420" w:type="dxa"/>
          </w:tcPr>
          <w:p w14:paraId="42357802" w14:textId="77777777" w:rsidR="00EB04A2" w:rsidRPr="001D7D4A" w:rsidRDefault="00EB04A2" w:rsidP="00AD6FBD">
            <w:pPr>
              <w:pStyle w:val="text"/>
              <w:keepNext/>
              <w:keepLines/>
              <w:spacing w:before="60" w:after="60" w:line="240" w:lineRule="exact"/>
              <w:jc w:val="left"/>
            </w:pPr>
            <w:r w:rsidRPr="001D7D4A">
              <w:t xml:space="preserve">Cao and Caldeira, 2010 </w:t>
            </w:r>
          </w:p>
        </w:tc>
        <w:tc>
          <w:tcPr>
            <w:tcW w:w="6390" w:type="dxa"/>
          </w:tcPr>
          <w:p w14:paraId="1849AF5C" w14:textId="77777777" w:rsidR="00EB04A2" w:rsidRPr="006C5AC2" w:rsidRDefault="00EB04A2" w:rsidP="00AD6FBD">
            <w:pPr>
              <w:pStyle w:val="text"/>
              <w:keepNext/>
              <w:keepLines/>
              <w:spacing w:before="60" w:after="60" w:line="240" w:lineRule="exact"/>
            </w:pPr>
            <w:r w:rsidRPr="006C5AC2">
              <w:t xml:space="preserve">500 ppm; Fig. 1 </w:t>
            </w:r>
            <w:r w:rsidRPr="006C5AC2">
              <w:rPr>
                <w:i/>
              </w:rPr>
              <w:t>a</w:t>
            </w:r>
            <w:r w:rsidRPr="006C5AC2">
              <w:t xml:space="preserve">. </w:t>
            </w:r>
          </w:p>
        </w:tc>
      </w:tr>
      <w:tr w:rsidR="00EB04A2" w:rsidRPr="006A289A" w14:paraId="114A7240" w14:textId="77777777" w:rsidTr="00E93341">
        <w:tc>
          <w:tcPr>
            <w:tcW w:w="3420" w:type="dxa"/>
          </w:tcPr>
          <w:p w14:paraId="6AC541EA" w14:textId="0FC27CD5" w:rsidR="00EB04A2" w:rsidRPr="001D7D4A" w:rsidRDefault="00EB04A2" w:rsidP="00AD6FBD">
            <w:pPr>
              <w:pStyle w:val="text"/>
              <w:keepNext/>
              <w:keepLines/>
              <w:spacing w:before="60" w:after="60" w:line="240" w:lineRule="exact"/>
              <w:jc w:val="left"/>
            </w:pPr>
            <w:r w:rsidRPr="001D7D4A">
              <w:t xml:space="preserve">Zickfeld </w:t>
            </w:r>
            <w:r w:rsidR="00061620">
              <w:t>et al</w:t>
            </w:r>
            <w:r w:rsidR="00061620">
              <w:rPr>
                <w:rFonts w:ascii="Times" w:eastAsia="宋体" w:hAnsi="Times"/>
                <w:lang w:val="en-US" w:eastAsia="en-US"/>
              </w:rPr>
              <w:t xml:space="preserve"> </w:t>
            </w:r>
            <w:r w:rsidRPr="001D7D4A">
              <w:t>., 2012</w:t>
            </w:r>
          </w:p>
        </w:tc>
        <w:tc>
          <w:tcPr>
            <w:tcW w:w="6390" w:type="dxa"/>
          </w:tcPr>
          <w:p w14:paraId="2C7EA346" w14:textId="77777777" w:rsidR="00EB04A2" w:rsidRPr="006C5AC2" w:rsidRDefault="00EB04A2" w:rsidP="00AD6FBD">
            <w:pPr>
              <w:pStyle w:val="text"/>
              <w:keepNext/>
              <w:keepLines/>
              <w:spacing w:before="60" w:after="60" w:line="240" w:lineRule="exact"/>
            </w:pPr>
            <w:r w:rsidRPr="006C5AC2">
              <w:t xml:space="preserve">840 ppm; Fig. 1 </w:t>
            </w:r>
            <w:r w:rsidRPr="006C5AC2">
              <w:rPr>
                <w:i/>
              </w:rPr>
              <w:t>c</w:t>
            </w:r>
            <w:r w:rsidRPr="006C5AC2">
              <w:t xml:space="preserve">. </w:t>
            </w:r>
          </w:p>
        </w:tc>
      </w:tr>
      <w:tr w:rsidR="00EB04A2" w:rsidRPr="006A289A" w14:paraId="1929BF31" w14:textId="77777777" w:rsidTr="00E93341">
        <w:tc>
          <w:tcPr>
            <w:tcW w:w="3420" w:type="dxa"/>
          </w:tcPr>
          <w:p w14:paraId="700DAF1A" w14:textId="023DC01F" w:rsidR="00EB04A2" w:rsidRPr="001D7D4A" w:rsidRDefault="00EB04A2" w:rsidP="00AD6FBD">
            <w:pPr>
              <w:pStyle w:val="text"/>
              <w:keepNext/>
              <w:keepLines/>
              <w:spacing w:before="60" w:after="60" w:line="240" w:lineRule="exact"/>
              <w:jc w:val="left"/>
            </w:pPr>
            <w:r w:rsidRPr="001D7D4A">
              <w:t xml:space="preserve">Solomon </w:t>
            </w:r>
            <w:r w:rsidR="00061620">
              <w:t>et al</w:t>
            </w:r>
            <w:r w:rsidR="00061620">
              <w:rPr>
                <w:rFonts w:ascii="Times" w:eastAsia="宋体" w:hAnsi="Times"/>
                <w:lang w:val="en-US" w:eastAsia="en-US"/>
              </w:rPr>
              <w:t xml:space="preserve"> </w:t>
            </w:r>
            <w:r w:rsidRPr="001D7D4A">
              <w:t>., 2009</w:t>
            </w:r>
          </w:p>
        </w:tc>
        <w:tc>
          <w:tcPr>
            <w:tcW w:w="6390" w:type="dxa"/>
          </w:tcPr>
          <w:p w14:paraId="58037EF1" w14:textId="77777777" w:rsidR="00EB04A2" w:rsidRPr="006C5AC2" w:rsidRDefault="00EB04A2" w:rsidP="00AD6FBD">
            <w:pPr>
              <w:pStyle w:val="text"/>
              <w:keepNext/>
              <w:keepLines/>
              <w:spacing w:before="60" w:after="60" w:line="240" w:lineRule="exact"/>
            </w:pPr>
            <w:r w:rsidRPr="006C5AC2">
              <w:t xml:space="preserve">450 ppm; Fig. 1 </w:t>
            </w:r>
            <w:r w:rsidRPr="006C5AC2">
              <w:rPr>
                <w:i/>
              </w:rPr>
              <w:t>a</w:t>
            </w:r>
            <w:r w:rsidRPr="006C5AC2">
              <w:t xml:space="preserve">. </w:t>
            </w:r>
          </w:p>
        </w:tc>
      </w:tr>
      <w:tr w:rsidR="00EB04A2" w:rsidRPr="006A289A" w14:paraId="08879380" w14:textId="77777777" w:rsidTr="00E93341">
        <w:tc>
          <w:tcPr>
            <w:tcW w:w="3420" w:type="dxa"/>
          </w:tcPr>
          <w:p w14:paraId="719873E5" w14:textId="77777777" w:rsidR="00EB04A2" w:rsidRPr="001D7D4A" w:rsidRDefault="00EB04A2" w:rsidP="00AD6FBD">
            <w:pPr>
              <w:pStyle w:val="text"/>
              <w:keepNext/>
              <w:keepLines/>
              <w:spacing w:before="60" w:after="60" w:line="240" w:lineRule="exact"/>
              <w:jc w:val="left"/>
            </w:pPr>
            <w:r w:rsidRPr="001D7D4A">
              <w:t>Knutti and Plattner, 2012</w:t>
            </w:r>
          </w:p>
        </w:tc>
        <w:tc>
          <w:tcPr>
            <w:tcW w:w="6390" w:type="dxa"/>
          </w:tcPr>
          <w:p w14:paraId="00A301C5" w14:textId="77777777" w:rsidR="00EB04A2" w:rsidRPr="006C5AC2" w:rsidRDefault="00EB04A2" w:rsidP="00AD6FBD">
            <w:pPr>
              <w:pStyle w:val="text"/>
              <w:keepNext/>
              <w:keepLines/>
              <w:spacing w:before="60" w:after="60" w:line="240" w:lineRule="exact"/>
            </w:pPr>
            <w:r w:rsidRPr="006C5AC2">
              <w:t xml:space="preserve">383 ppm; Fig. 1 </w:t>
            </w:r>
            <w:r w:rsidRPr="006C5AC2">
              <w:rPr>
                <w:i/>
              </w:rPr>
              <w:t>b</w:t>
            </w:r>
            <w:r w:rsidRPr="006C5AC2">
              <w:t>.</w:t>
            </w:r>
          </w:p>
        </w:tc>
      </w:tr>
      <w:tr w:rsidR="00EB04A2" w:rsidRPr="006A289A" w14:paraId="2EB3571C" w14:textId="77777777" w:rsidTr="00E93341">
        <w:tc>
          <w:tcPr>
            <w:tcW w:w="3420" w:type="dxa"/>
          </w:tcPr>
          <w:p w14:paraId="54323A11" w14:textId="553C7155" w:rsidR="00EB04A2" w:rsidRPr="001D7D4A" w:rsidRDefault="00EB04A2" w:rsidP="00AD6FBD">
            <w:pPr>
              <w:pStyle w:val="text"/>
              <w:keepNext/>
              <w:keepLines/>
              <w:spacing w:before="60" w:after="60" w:line="240" w:lineRule="exact"/>
              <w:jc w:val="left"/>
            </w:pPr>
            <w:r w:rsidRPr="001D7D4A">
              <w:t xml:space="preserve">Gillett </w:t>
            </w:r>
            <w:r w:rsidR="00061620">
              <w:t>et al</w:t>
            </w:r>
            <w:r w:rsidR="00061620">
              <w:rPr>
                <w:rFonts w:ascii="Times" w:eastAsia="宋体" w:hAnsi="Times"/>
                <w:lang w:val="en-US" w:eastAsia="en-US"/>
              </w:rPr>
              <w:t xml:space="preserve"> </w:t>
            </w:r>
            <w:r w:rsidRPr="001D7D4A">
              <w:t>., 2011</w:t>
            </w:r>
          </w:p>
        </w:tc>
        <w:tc>
          <w:tcPr>
            <w:tcW w:w="6390" w:type="dxa"/>
          </w:tcPr>
          <w:p w14:paraId="25EA75BB" w14:textId="77777777" w:rsidR="00EB04A2" w:rsidRPr="006C5AC2" w:rsidRDefault="00EB04A2" w:rsidP="00AD6FBD">
            <w:pPr>
              <w:pStyle w:val="text"/>
              <w:keepNext/>
              <w:keepLines/>
              <w:spacing w:before="60" w:after="60" w:line="240" w:lineRule="exact"/>
            </w:pPr>
            <w:r w:rsidRPr="006C5AC2">
              <w:t xml:space="preserve">370 ppm; Fig. 1 </w:t>
            </w:r>
            <w:r w:rsidRPr="006C5AC2">
              <w:rPr>
                <w:i/>
              </w:rPr>
              <w:t>b</w:t>
            </w:r>
            <w:r w:rsidRPr="006C5AC2">
              <w:t xml:space="preserve">. </w:t>
            </w:r>
          </w:p>
        </w:tc>
      </w:tr>
      <w:tr w:rsidR="00EB04A2" w:rsidRPr="006A289A" w14:paraId="4506654F" w14:textId="77777777" w:rsidTr="00E93341">
        <w:tc>
          <w:tcPr>
            <w:tcW w:w="3420" w:type="dxa"/>
          </w:tcPr>
          <w:p w14:paraId="31218E49" w14:textId="77777777" w:rsidR="00EB04A2" w:rsidRPr="001D7D4A" w:rsidRDefault="00EB04A2" w:rsidP="00AD6FBD">
            <w:pPr>
              <w:pStyle w:val="text"/>
              <w:keepNext/>
              <w:keepLines/>
              <w:spacing w:before="60" w:after="60" w:line="240" w:lineRule="exact"/>
              <w:jc w:val="left"/>
            </w:pPr>
            <w:r w:rsidRPr="001D7D4A">
              <w:t>Frölicher and Joos, 2010</w:t>
            </w:r>
          </w:p>
        </w:tc>
        <w:tc>
          <w:tcPr>
            <w:tcW w:w="6390" w:type="dxa"/>
          </w:tcPr>
          <w:p w14:paraId="6F5C5A70" w14:textId="77777777" w:rsidR="00EB04A2" w:rsidRPr="006C5AC2" w:rsidRDefault="00EB04A2" w:rsidP="00AD6FBD">
            <w:pPr>
              <w:pStyle w:val="text"/>
              <w:keepNext/>
              <w:keepLines/>
              <w:spacing w:before="60" w:after="60" w:line="240" w:lineRule="exact"/>
            </w:pPr>
            <w:r w:rsidRPr="006C5AC2">
              <w:t xml:space="preserve">370 ppm; Fig. 1 </w:t>
            </w:r>
            <w:r w:rsidRPr="006C5AC2">
              <w:rPr>
                <w:i/>
              </w:rPr>
              <w:t>b</w:t>
            </w:r>
            <w:r w:rsidRPr="006C5AC2">
              <w:t xml:space="preserve">. </w:t>
            </w:r>
          </w:p>
        </w:tc>
      </w:tr>
      <w:tr w:rsidR="00EB04A2" w:rsidRPr="006A289A" w14:paraId="71A7F18B" w14:textId="77777777" w:rsidTr="00E93341">
        <w:tc>
          <w:tcPr>
            <w:tcW w:w="3420" w:type="dxa"/>
          </w:tcPr>
          <w:p w14:paraId="216973D3" w14:textId="513D1780" w:rsidR="00EB04A2" w:rsidRPr="001D7D4A" w:rsidRDefault="00EB04A2" w:rsidP="00AD6FBD">
            <w:pPr>
              <w:pStyle w:val="text"/>
              <w:keepNext/>
              <w:keepLines/>
              <w:spacing w:before="60" w:after="60" w:line="240" w:lineRule="exact"/>
              <w:jc w:val="left"/>
            </w:pPr>
            <w:r w:rsidRPr="001D7D4A">
              <w:t xml:space="preserve">Raupach </w:t>
            </w:r>
            <w:r w:rsidR="00061620">
              <w:t>et al</w:t>
            </w:r>
            <w:r w:rsidR="00061620">
              <w:rPr>
                <w:rFonts w:ascii="Times" w:eastAsia="宋体" w:hAnsi="Times"/>
                <w:lang w:val="en-US" w:eastAsia="en-US"/>
              </w:rPr>
              <w:t xml:space="preserve"> </w:t>
            </w:r>
            <w:r w:rsidRPr="001D7D4A">
              <w:t>., 2014</w:t>
            </w:r>
          </w:p>
        </w:tc>
        <w:tc>
          <w:tcPr>
            <w:tcW w:w="6390" w:type="dxa"/>
          </w:tcPr>
          <w:p w14:paraId="658D1D3F" w14:textId="77777777" w:rsidR="00EB04A2" w:rsidRPr="006C5AC2" w:rsidRDefault="00EB04A2" w:rsidP="00AD6FBD">
            <w:pPr>
              <w:pStyle w:val="text"/>
              <w:keepNext/>
              <w:keepLines/>
              <w:spacing w:before="60" w:after="60" w:line="240" w:lineRule="exact"/>
            </w:pPr>
            <w:r>
              <w:t>394 ppm; Fig. 4, col 1, row 2</w:t>
            </w:r>
          </w:p>
        </w:tc>
      </w:tr>
      <w:tr w:rsidR="00EB04A2" w:rsidRPr="006A289A" w14:paraId="06D05EF0" w14:textId="77777777" w:rsidTr="00E93341">
        <w:tc>
          <w:tcPr>
            <w:tcW w:w="3420" w:type="dxa"/>
          </w:tcPr>
          <w:p w14:paraId="52EA64C5" w14:textId="77777777" w:rsidR="00EB04A2" w:rsidRPr="001D7D4A" w:rsidRDefault="00EB04A2" w:rsidP="00AD6FBD">
            <w:pPr>
              <w:pStyle w:val="text"/>
              <w:keepNext/>
              <w:keepLines/>
              <w:spacing w:before="60" w:after="60" w:line="240" w:lineRule="exact"/>
              <w:jc w:val="left"/>
            </w:pPr>
            <w:r w:rsidRPr="001D7D4A">
              <w:t>Hare and Meinshausen, 2006</w:t>
            </w:r>
          </w:p>
        </w:tc>
        <w:tc>
          <w:tcPr>
            <w:tcW w:w="6390" w:type="dxa"/>
          </w:tcPr>
          <w:p w14:paraId="0528BC67" w14:textId="77777777" w:rsidR="00EB04A2" w:rsidRPr="006C5AC2" w:rsidRDefault="00EB04A2" w:rsidP="00AD6FBD">
            <w:pPr>
              <w:pStyle w:val="text"/>
              <w:keepNext/>
              <w:keepLines/>
              <w:spacing w:before="60" w:after="60" w:line="240" w:lineRule="exact"/>
            </w:pPr>
            <w:r w:rsidRPr="006C5AC2">
              <w:t xml:space="preserve">382 ppm; Fig. 3 </w:t>
            </w:r>
            <w:r w:rsidRPr="006C5AC2">
              <w:rPr>
                <w:i/>
              </w:rPr>
              <w:t>a</w:t>
            </w:r>
            <w:r w:rsidRPr="006C5AC2">
              <w:t xml:space="preserve">. </w:t>
            </w:r>
          </w:p>
        </w:tc>
      </w:tr>
      <w:tr w:rsidR="00EB04A2" w:rsidRPr="006A289A" w14:paraId="332292E3" w14:textId="77777777" w:rsidTr="00E93341">
        <w:tc>
          <w:tcPr>
            <w:tcW w:w="3420" w:type="dxa"/>
            <w:tcBorders>
              <w:bottom w:val="single" w:sz="4" w:space="0" w:color="000000"/>
            </w:tcBorders>
          </w:tcPr>
          <w:p w14:paraId="02D6D46A" w14:textId="1833D7BB" w:rsidR="00EB04A2" w:rsidRPr="001D7D4A" w:rsidRDefault="00EB04A2" w:rsidP="00AD6FBD">
            <w:pPr>
              <w:pStyle w:val="text"/>
              <w:keepNext/>
              <w:keepLines/>
              <w:spacing w:before="60" w:after="60" w:line="240" w:lineRule="exact"/>
              <w:jc w:val="left"/>
            </w:pPr>
            <w:r w:rsidRPr="001D7D4A">
              <w:t xml:space="preserve">Joos </w:t>
            </w:r>
            <w:r w:rsidR="00061620">
              <w:t>et al</w:t>
            </w:r>
            <w:r w:rsidR="00061620">
              <w:rPr>
                <w:rFonts w:ascii="Times" w:eastAsia="宋体" w:hAnsi="Times"/>
                <w:lang w:val="en-US" w:eastAsia="en-US"/>
              </w:rPr>
              <w:t xml:space="preserve"> </w:t>
            </w:r>
            <w:r w:rsidRPr="001D7D4A">
              <w:t>., 2013</w:t>
            </w:r>
          </w:p>
        </w:tc>
        <w:tc>
          <w:tcPr>
            <w:tcW w:w="6390" w:type="dxa"/>
            <w:tcBorders>
              <w:bottom w:val="single" w:sz="4" w:space="0" w:color="000000"/>
            </w:tcBorders>
          </w:tcPr>
          <w:p w14:paraId="069F94F8" w14:textId="77777777" w:rsidR="00EB04A2" w:rsidRPr="006C5AC2" w:rsidRDefault="00EB04A2" w:rsidP="00AD6FBD">
            <w:pPr>
              <w:pStyle w:val="text"/>
              <w:keepNext/>
              <w:keepLines/>
              <w:spacing w:before="60" w:after="60" w:line="240" w:lineRule="exact"/>
            </w:pPr>
            <w:r w:rsidRPr="004B1984">
              <w:rPr>
                <w:spacing w:val="-6"/>
              </w:rPr>
              <w:t xml:space="preserve">100 </w:t>
            </w:r>
            <w:r>
              <w:rPr>
                <w:spacing w:val="-6"/>
              </w:rPr>
              <w:t>Pg</w:t>
            </w:r>
            <w:r w:rsidRPr="004B1984">
              <w:rPr>
                <w:spacing w:val="-6"/>
              </w:rPr>
              <w:t xml:space="preserve"> pulse added to 389 ppm; Fig. 1 </w:t>
            </w:r>
            <w:r w:rsidRPr="004B1984">
              <w:rPr>
                <w:i/>
                <w:spacing w:val="-6"/>
              </w:rPr>
              <w:t>a</w:t>
            </w:r>
            <w:r w:rsidRPr="004B1984">
              <w:rPr>
                <w:spacing w:val="-6"/>
              </w:rPr>
              <w:t>, Table S1</w:t>
            </w:r>
            <w:r w:rsidRPr="006C5AC2">
              <w:t>.</w:t>
            </w:r>
          </w:p>
        </w:tc>
      </w:tr>
    </w:tbl>
    <w:p w14:paraId="08C53C43" w14:textId="05A0A85F" w:rsidR="00EB04A2" w:rsidRPr="006668E1" w:rsidRDefault="00EB04A2" w:rsidP="00EB04A2">
      <w:pPr>
        <w:pStyle w:val="hdr"/>
        <w:rPr>
          <w:rFonts w:ascii="Times" w:hAnsi="Times"/>
        </w:rPr>
      </w:pPr>
      <w:r w:rsidRPr="006668E1">
        <w:rPr>
          <w:rFonts w:ascii="Times" w:hAnsi="Times"/>
        </w:rPr>
        <w:br w:type="page"/>
      </w:r>
      <w:r w:rsidRPr="006668E1">
        <w:rPr>
          <w:rFonts w:ascii="Times" w:hAnsi="Times"/>
        </w:rPr>
        <w:lastRenderedPageBreak/>
        <w:t>References to material in Figure 1</w:t>
      </w:r>
      <w:r>
        <w:rPr>
          <w:rFonts w:ascii="Times" w:hAnsi="Times"/>
        </w:rPr>
        <w:t xml:space="preserve"> and</w:t>
      </w:r>
      <w:r w:rsidRPr="006668E1">
        <w:rPr>
          <w:rFonts w:ascii="Times" w:hAnsi="Times"/>
        </w:rPr>
        <w:t xml:space="preserve"> Table S1.</w:t>
      </w:r>
    </w:p>
    <w:p w14:paraId="11A596EE" w14:textId="77777777" w:rsidR="00EB04A2" w:rsidRPr="00AD6FBD" w:rsidRDefault="00EB04A2" w:rsidP="00AD6FBD">
      <w:pPr>
        <w:pStyle w:val="jgrref"/>
        <w:spacing w:line="260" w:lineRule="exact"/>
        <w:rPr>
          <w:sz w:val="20"/>
        </w:rPr>
      </w:pPr>
      <w:r w:rsidRPr="00AD6FBD">
        <w:rPr>
          <w:sz w:val="20"/>
        </w:rPr>
        <w:t xml:space="preserve">Allen, M. R., D. J. Frame, C. Huntingford, C. D. Jones, J. A. Lowe, M. Meinshausen, and N. Meinshausen (2009), Warming caused by cumulative carbon emissions towards the trillionth tonne, </w:t>
      </w:r>
      <w:r w:rsidRPr="00AD6FBD">
        <w:rPr>
          <w:i/>
          <w:iCs/>
          <w:sz w:val="20"/>
        </w:rPr>
        <w:t>Nature</w:t>
      </w:r>
      <w:r w:rsidRPr="00AD6FBD">
        <w:rPr>
          <w:sz w:val="20"/>
        </w:rPr>
        <w:t xml:space="preserve">, </w:t>
      </w:r>
      <w:r w:rsidRPr="00AD6FBD">
        <w:rPr>
          <w:i/>
          <w:iCs/>
          <w:sz w:val="20"/>
        </w:rPr>
        <w:t>458</w:t>
      </w:r>
      <w:r w:rsidRPr="00AD6FBD">
        <w:rPr>
          <w:sz w:val="20"/>
        </w:rPr>
        <w:t>, 1163-1166, https://www.nature.com/nature/journal/v458/n7242/abs/nature08019.html.</w:t>
      </w:r>
    </w:p>
    <w:p w14:paraId="189BF1F8" w14:textId="77777777" w:rsidR="00EB04A2" w:rsidRPr="00AD6FBD" w:rsidRDefault="00EB04A2" w:rsidP="00AD6FBD">
      <w:pPr>
        <w:pStyle w:val="jgrref"/>
        <w:spacing w:line="260" w:lineRule="exact"/>
        <w:rPr>
          <w:sz w:val="20"/>
        </w:rPr>
      </w:pPr>
      <w:r w:rsidRPr="00AD6FBD">
        <w:rPr>
          <w:sz w:val="20"/>
        </w:rPr>
        <w:t xml:space="preserve">Cao, L., and K. Caldeira (2010), Atmospheric carbon dioxide removal: long-term consequences and commitment, </w:t>
      </w:r>
      <w:r w:rsidRPr="00AD6FBD">
        <w:rPr>
          <w:i/>
          <w:iCs/>
          <w:sz w:val="20"/>
        </w:rPr>
        <w:t>Environ Res Lett</w:t>
      </w:r>
      <w:r w:rsidRPr="00AD6FBD">
        <w:rPr>
          <w:sz w:val="20"/>
        </w:rPr>
        <w:t xml:space="preserve">, </w:t>
      </w:r>
      <w:r w:rsidRPr="00AD6FBD">
        <w:rPr>
          <w:i/>
          <w:iCs/>
          <w:sz w:val="20"/>
        </w:rPr>
        <w:t>5</w:t>
      </w:r>
      <w:r w:rsidRPr="00AD6FBD">
        <w:rPr>
          <w:sz w:val="20"/>
        </w:rPr>
        <w:t>, 024011.</w:t>
      </w:r>
    </w:p>
    <w:p w14:paraId="319E71D7" w14:textId="77777777" w:rsidR="00EB04A2" w:rsidRPr="00AD6FBD" w:rsidRDefault="00EB04A2" w:rsidP="00AD6FBD">
      <w:pPr>
        <w:pStyle w:val="jgrref"/>
        <w:spacing w:line="260" w:lineRule="exact"/>
        <w:rPr>
          <w:sz w:val="20"/>
        </w:rPr>
      </w:pPr>
      <w:r w:rsidRPr="00AD6FBD">
        <w:rPr>
          <w:sz w:val="20"/>
        </w:rPr>
        <w:t xml:space="preserve">Frölicher, T. L., and F. Joos (2010), Reversible and irreversible impacts of greenhouse gas emissions in multi-century projections with the NCAR global coupled carbon cycle-climate model, </w:t>
      </w:r>
      <w:r w:rsidRPr="00AD6FBD">
        <w:rPr>
          <w:i/>
          <w:iCs/>
          <w:sz w:val="20"/>
        </w:rPr>
        <w:t>Clim Dyn</w:t>
      </w:r>
      <w:r w:rsidRPr="00AD6FBD">
        <w:rPr>
          <w:sz w:val="20"/>
        </w:rPr>
        <w:t xml:space="preserve">, </w:t>
      </w:r>
      <w:r w:rsidRPr="00AD6FBD">
        <w:rPr>
          <w:i/>
          <w:iCs/>
          <w:sz w:val="20"/>
        </w:rPr>
        <w:t>35</w:t>
      </w:r>
      <w:r w:rsidRPr="00AD6FBD">
        <w:rPr>
          <w:sz w:val="20"/>
        </w:rPr>
        <w:t>, 1439-1459, doi:10.1007/s00382-009-0727-0.</w:t>
      </w:r>
    </w:p>
    <w:p w14:paraId="2682082B" w14:textId="77777777" w:rsidR="00EB04A2" w:rsidRPr="00AD6FBD" w:rsidRDefault="00EB04A2" w:rsidP="00AD6FBD">
      <w:pPr>
        <w:pStyle w:val="jgrref"/>
        <w:spacing w:line="260" w:lineRule="exact"/>
        <w:rPr>
          <w:sz w:val="20"/>
        </w:rPr>
      </w:pPr>
      <w:r w:rsidRPr="00AD6FBD">
        <w:rPr>
          <w:sz w:val="20"/>
        </w:rPr>
        <w:t xml:space="preserve">Gillett, N. P., V. K. Arora, K. Zickfeld, S. J. Marshall, and W. J. Merryfield (2011), Ongoing climate change following a complete cessation of carbon dioxide emissions, </w:t>
      </w:r>
      <w:r w:rsidRPr="00AD6FBD">
        <w:rPr>
          <w:i/>
          <w:iCs/>
          <w:sz w:val="20"/>
        </w:rPr>
        <w:t>Nature Geosci</w:t>
      </w:r>
      <w:r w:rsidRPr="00AD6FBD">
        <w:rPr>
          <w:sz w:val="20"/>
        </w:rPr>
        <w:t xml:space="preserve">, </w:t>
      </w:r>
      <w:r w:rsidRPr="00AD6FBD">
        <w:rPr>
          <w:i/>
          <w:iCs/>
          <w:sz w:val="20"/>
        </w:rPr>
        <w:t>4</w:t>
      </w:r>
      <w:r w:rsidRPr="00AD6FBD">
        <w:rPr>
          <w:sz w:val="20"/>
        </w:rPr>
        <w:t>, 83-87, doi:http://www.nature.com/ngeo/journal/v4/n2/abs/ngeo1047.</w:t>
      </w:r>
    </w:p>
    <w:p w14:paraId="658022E6" w14:textId="77777777" w:rsidR="00EB04A2" w:rsidRPr="00AD6FBD" w:rsidRDefault="00EB04A2" w:rsidP="00AD6FBD">
      <w:pPr>
        <w:pStyle w:val="jgrref"/>
        <w:spacing w:line="260" w:lineRule="exact"/>
        <w:rPr>
          <w:sz w:val="20"/>
        </w:rPr>
      </w:pPr>
      <w:r w:rsidRPr="00AD6FBD">
        <w:rPr>
          <w:sz w:val="20"/>
        </w:rPr>
        <w:t xml:space="preserve">Hare, B., and M. Meinshausen (2006), How much warming are we committed to and how much can be avoided?, </w:t>
      </w:r>
      <w:r w:rsidRPr="00AD6FBD">
        <w:rPr>
          <w:i/>
          <w:iCs/>
          <w:sz w:val="20"/>
        </w:rPr>
        <w:t>Clim Change</w:t>
      </w:r>
      <w:r w:rsidRPr="00AD6FBD">
        <w:rPr>
          <w:sz w:val="20"/>
        </w:rPr>
        <w:t xml:space="preserve">, </w:t>
      </w:r>
      <w:r w:rsidRPr="00AD6FBD">
        <w:rPr>
          <w:i/>
          <w:iCs/>
          <w:sz w:val="20"/>
        </w:rPr>
        <w:t>75</w:t>
      </w:r>
      <w:r w:rsidRPr="00AD6FBD">
        <w:rPr>
          <w:sz w:val="20"/>
        </w:rPr>
        <w:t>, 111-149, doi:10.1007/s10584-005-9027-9.</w:t>
      </w:r>
    </w:p>
    <w:p w14:paraId="7FC7C41E" w14:textId="39CC4975" w:rsidR="00EB04A2" w:rsidRPr="00AD6FBD" w:rsidRDefault="00EB04A2" w:rsidP="00AD6FBD">
      <w:pPr>
        <w:pStyle w:val="jgrref"/>
        <w:spacing w:line="260" w:lineRule="exact"/>
        <w:rPr>
          <w:sz w:val="20"/>
        </w:rPr>
      </w:pPr>
      <w:r w:rsidRPr="00AD6FBD">
        <w:rPr>
          <w:sz w:val="20"/>
        </w:rPr>
        <w:t xml:space="preserve">Joos, F., </w:t>
      </w:r>
      <w:r w:rsidR="00061620">
        <w:t>et al</w:t>
      </w:r>
      <w:r w:rsidR="00061620">
        <w:rPr>
          <w:rFonts w:eastAsia="宋体"/>
          <w:szCs w:val="20"/>
          <w:lang w:eastAsia="en-US"/>
        </w:rPr>
        <w:t xml:space="preserve"> </w:t>
      </w:r>
      <w:r w:rsidRPr="00AD6FBD">
        <w:rPr>
          <w:sz w:val="20"/>
        </w:rPr>
        <w:t>. (2013</w:t>
      </w:r>
      <w:r w:rsidRPr="00AD6FBD">
        <w:rPr>
          <w:i/>
          <w:sz w:val="20"/>
        </w:rPr>
        <w:t>a</w:t>
      </w:r>
      <w:r w:rsidRPr="00AD6FBD">
        <w:rPr>
          <w:sz w:val="20"/>
        </w:rPr>
        <w:t xml:space="preserve">), Carbon dioxide and climate impulse response functions for the computation of greenhouse gas metrics: a multi-model analysis, </w:t>
      </w:r>
      <w:r w:rsidRPr="00AD6FBD">
        <w:rPr>
          <w:i/>
          <w:iCs/>
          <w:sz w:val="20"/>
        </w:rPr>
        <w:t>Atmos Chem Phys</w:t>
      </w:r>
      <w:r w:rsidRPr="00AD6FBD">
        <w:rPr>
          <w:sz w:val="20"/>
        </w:rPr>
        <w:t xml:space="preserve">, </w:t>
      </w:r>
      <w:r w:rsidRPr="00AD6FBD">
        <w:rPr>
          <w:i/>
          <w:iCs/>
          <w:sz w:val="20"/>
        </w:rPr>
        <w:t>13</w:t>
      </w:r>
      <w:r w:rsidRPr="00AD6FBD">
        <w:rPr>
          <w:sz w:val="20"/>
        </w:rPr>
        <w:t>, 2793-2825, doi:10.5194/acp-13-2793-2013.</w:t>
      </w:r>
    </w:p>
    <w:p w14:paraId="2DBBA8B0" w14:textId="77777777" w:rsidR="00EB04A2" w:rsidRPr="00AD6FBD" w:rsidRDefault="00EB04A2" w:rsidP="00AD6FBD">
      <w:pPr>
        <w:pStyle w:val="jgrref"/>
        <w:spacing w:line="260" w:lineRule="exact"/>
        <w:rPr>
          <w:sz w:val="20"/>
        </w:rPr>
      </w:pPr>
      <w:r w:rsidRPr="00AD6FBD">
        <w:rPr>
          <w:sz w:val="20"/>
        </w:rPr>
        <w:t xml:space="preserve">Knutti, R., and G.-K. Plattner (2012), Comments on “Why hasn’t earth warmed as much as expected?”, </w:t>
      </w:r>
      <w:r w:rsidRPr="00AD6FBD">
        <w:rPr>
          <w:i/>
          <w:iCs/>
          <w:sz w:val="20"/>
        </w:rPr>
        <w:t>J Clim</w:t>
      </w:r>
      <w:r w:rsidRPr="00AD6FBD">
        <w:rPr>
          <w:sz w:val="20"/>
        </w:rPr>
        <w:t xml:space="preserve">, </w:t>
      </w:r>
      <w:r w:rsidRPr="00AD6FBD">
        <w:rPr>
          <w:i/>
          <w:iCs/>
          <w:sz w:val="20"/>
        </w:rPr>
        <w:t>25</w:t>
      </w:r>
      <w:r w:rsidRPr="00AD6FBD">
        <w:rPr>
          <w:sz w:val="20"/>
        </w:rPr>
        <w:t>, 2192-2199, doi:10.1175/2011jcli4038.1.</w:t>
      </w:r>
    </w:p>
    <w:p w14:paraId="13433019" w14:textId="77777777" w:rsidR="00EB04A2" w:rsidRPr="00AD6FBD" w:rsidRDefault="00EB04A2" w:rsidP="00AD6FBD">
      <w:pPr>
        <w:pStyle w:val="jgrref"/>
        <w:spacing w:line="260" w:lineRule="exact"/>
        <w:rPr>
          <w:sz w:val="20"/>
        </w:rPr>
      </w:pPr>
      <w:r w:rsidRPr="00AD6FBD">
        <w:rPr>
          <w:sz w:val="20"/>
        </w:rPr>
        <w:t xml:space="preserve">Matthews, H. D., and K. Caldeira (2008), Stabilizing climate requires near-zero emissions, </w:t>
      </w:r>
      <w:r w:rsidRPr="00AD6FBD">
        <w:rPr>
          <w:i/>
          <w:iCs/>
          <w:sz w:val="20"/>
        </w:rPr>
        <w:t>Geophys Res Lett</w:t>
      </w:r>
      <w:r w:rsidRPr="00AD6FBD">
        <w:rPr>
          <w:sz w:val="20"/>
        </w:rPr>
        <w:t xml:space="preserve">, </w:t>
      </w:r>
      <w:r w:rsidRPr="00AD6FBD">
        <w:rPr>
          <w:i/>
          <w:iCs/>
          <w:sz w:val="20"/>
        </w:rPr>
        <w:t>35</w:t>
      </w:r>
      <w:r w:rsidRPr="00AD6FBD">
        <w:rPr>
          <w:sz w:val="20"/>
        </w:rPr>
        <w:t>, L04705, doi:10.1029/2007GL032388.</w:t>
      </w:r>
    </w:p>
    <w:p w14:paraId="1398DF7D" w14:textId="44FCB860" w:rsidR="00EB04A2" w:rsidRPr="00AD6FBD" w:rsidRDefault="00EB04A2" w:rsidP="00AD6FBD">
      <w:pPr>
        <w:pStyle w:val="jgrref"/>
        <w:spacing w:line="260" w:lineRule="exact"/>
        <w:rPr>
          <w:sz w:val="20"/>
        </w:rPr>
      </w:pPr>
      <w:r w:rsidRPr="00AD6FBD">
        <w:rPr>
          <w:sz w:val="20"/>
        </w:rPr>
        <w:t xml:space="preserve">Plattner, G.-K., </w:t>
      </w:r>
      <w:r w:rsidR="00061620">
        <w:t>et al</w:t>
      </w:r>
      <w:r w:rsidR="00061620">
        <w:rPr>
          <w:rFonts w:eastAsia="宋体"/>
          <w:szCs w:val="20"/>
          <w:lang w:eastAsia="en-US"/>
        </w:rPr>
        <w:t xml:space="preserve"> </w:t>
      </w:r>
      <w:r w:rsidRPr="00AD6FBD">
        <w:rPr>
          <w:sz w:val="20"/>
        </w:rPr>
        <w:t xml:space="preserve">. (2008), Long-term climate commitments projected with climate–carbon cycle models, </w:t>
      </w:r>
      <w:r w:rsidRPr="00AD6FBD">
        <w:rPr>
          <w:i/>
          <w:iCs/>
          <w:sz w:val="20"/>
        </w:rPr>
        <w:t>J Clim</w:t>
      </w:r>
      <w:r w:rsidRPr="00AD6FBD">
        <w:rPr>
          <w:sz w:val="20"/>
        </w:rPr>
        <w:t xml:space="preserve">, </w:t>
      </w:r>
      <w:r w:rsidRPr="00AD6FBD">
        <w:rPr>
          <w:i/>
          <w:iCs/>
          <w:sz w:val="20"/>
        </w:rPr>
        <w:t>21</w:t>
      </w:r>
      <w:r w:rsidRPr="00AD6FBD">
        <w:rPr>
          <w:sz w:val="20"/>
        </w:rPr>
        <w:t>, 2721-2751, doi:10.1175/2007jcli1905.1.</w:t>
      </w:r>
    </w:p>
    <w:p w14:paraId="6AC27EEC" w14:textId="77777777" w:rsidR="00EB04A2" w:rsidRPr="00AD6FBD" w:rsidRDefault="00EB04A2" w:rsidP="00AD6FBD">
      <w:pPr>
        <w:pStyle w:val="jgrref"/>
        <w:spacing w:line="260" w:lineRule="exact"/>
        <w:rPr>
          <w:sz w:val="20"/>
        </w:rPr>
      </w:pPr>
      <w:r w:rsidRPr="00AD6FBD">
        <w:rPr>
          <w:sz w:val="20"/>
        </w:rPr>
        <w:t>Raupach, M. R., M. Gloor, J. L. Sarmiento, J. G. Canadell, T. L. Frölicher, T. Gasser, R. A. Houghton, C. Le Quéré, and C. M. Trudinger (2014), The declining uptake rate of atmospheric CO</w:t>
      </w:r>
      <w:r w:rsidRPr="00AD6FBD">
        <w:rPr>
          <w:position w:val="-4"/>
          <w:sz w:val="16"/>
        </w:rPr>
        <w:t>2</w:t>
      </w:r>
      <w:r w:rsidRPr="00AD6FBD">
        <w:rPr>
          <w:sz w:val="20"/>
        </w:rPr>
        <w:t xml:space="preserve"> by land and ocean sinks, </w:t>
      </w:r>
      <w:r w:rsidRPr="00AD6FBD">
        <w:rPr>
          <w:i/>
          <w:iCs/>
          <w:sz w:val="20"/>
        </w:rPr>
        <w:t>Biogeosciences</w:t>
      </w:r>
      <w:r w:rsidRPr="00AD6FBD">
        <w:rPr>
          <w:sz w:val="20"/>
        </w:rPr>
        <w:t xml:space="preserve">, </w:t>
      </w:r>
      <w:r w:rsidRPr="00AD6FBD">
        <w:rPr>
          <w:i/>
          <w:iCs/>
          <w:sz w:val="20"/>
        </w:rPr>
        <w:t>11</w:t>
      </w:r>
      <w:r w:rsidRPr="00AD6FBD">
        <w:rPr>
          <w:sz w:val="20"/>
        </w:rPr>
        <w:t>(13), 3453-3475, doi:10.5194/bg-11-3453-2014.</w:t>
      </w:r>
    </w:p>
    <w:p w14:paraId="428C0CA2" w14:textId="77777777" w:rsidR="00EB04A2" w:rsidRPr="00AD6FBD" w:rsidRDefault="00EB04A2" w:rsidP="00AD6FBD">
      <w:pPr>
        <w:pStyle w:val="jgrref"/>
        <w:spacing w:line="260" w:lineRule="exact"/>
        <w:rPr>
          <w:sz w:val="20"/>
        </w:rPr>
      </w:pPr>
      <w:r w:rsidRPr="00AD6FBD">
        <w:rPr>
          <w:sz w:val="20"/>
        </w:rPr>
        <w:t xml:space="preserve">Solomon, S., G.-K. Plattner, R. Knutti, and P. Friedlingstein (2009), Irreversible climate change due to carbon dioxide emissions, </w:t>
      </w:r>
      <w:r w:rsidRPr="00AD6FBD">
        <w:rPr>
          <w:i/>
          <w:iCs/>
          <w:sz w:val="20"/>
        </w:rPr>
        <w:t>Proc Natl Acad Sci USA</w:t>
      </w:r>
      <w:r w:rsidRPr="00AD6FBD">
        <w:rPr>
          <w:sz w:val="20"/>
        </w:rPr>
        <w:t xml:space="preserve">, </w:t>
      </w:r>
      <w:r w:rsidRPr="00AD6FBD">
        <w:rPr>
          <w:i/>
          <w:iCs/>
          <w:sz w:val="20"/>
        </w:rPr>
        <w:t>106</w:t>
      </w:r>
      <w:r w:rsidRPr="00AD6FBD">
        <w:rPr>
          <w:sz w:val="20"/>
        </w:rPr>
        <w:t>, 1704-1709, doi:10.1073/pnas.0812721106.</w:t>
      </w:r>
    </w:p>
    <w:p w14:paraId="11CD8815" w14:textId="77777777" w:rsidR="00EB04A2" w:rsidRPr="00AD6FBD" w:rsidRDefault="00EB04A2" w:rsidP="00AD6FBD">
      <w:pPr>
        <w:pStyle w:val="jgrref"/>
        <w:spacing w:line="260" w:lineRule="exact"/>
        <w:rPr>
          <w:sz w:val="20"/>
        </w:rPr>
      </w:pPr>
      <w:r w:rsidRPr="00AD6FBD">
        <w:rPr>
          <w:sz w:val="20"/>
        </w:rPr>
        <w:t>Zickfeld, K., V. K. Arora, and N. P. Gillett (2012), Is the climate response to CO</w:t>
      </w:r>
      <w:r w:rsidRPr="00AD6FBD">
        <w:rPr>
          <w:position w:val="-4"/>
          <w:sz w:val="16"/>
        </w:rPr>
        <w:t>2</w:t>
      </w:r>
      <w:r w:rsidRPr="00AD6FBD">
        <w:rPr>
          <w:sz w:val="20"/>
        </w:rPr>
        <w:t xml:space="preserve"> emissions path dependent?, </w:t>
      </w:r>
      <w:r w:rsidRPr="00AD6FBD">
        <w:rPr>
          <w:i/>
          <w:iCs/>
          <w:sz w:val="20"/>
        </w:rPr>
        <w:t>Geophys Res Lett</w:t>
      </w:r>
      <w:r w:rsidRPr="00AD6FBD">
        <w:rPr>
          <w:sz w:val="20"/>
        </w:rPr>
        <w:t xml:space="preserve">, </w:t>
      </w:r>
      <w:r w:rsidRPr="00AD6FBD">
        <w:rPr>
          <w:i/>
          <w:iCs/>
          <w:sz w:val="20"/>
        </w:rPr>
        <w:t>39</w:t>
      </w:r>
      <w:r w:rsidRPr="00AD6FBD">
        <w:rPr>
          <w:sz w:val="20"/>
        </w:rPr>
        <w:t>, L05703, doi:10.1029/2011GL050205.</w:t>
      </w:r>
    </w:p>
    <w:p w14:paraId="14EA5051" w14:textId="69475BD3" w:rsidR="00EB04A2" w:rsidRPr="00AD6FBD" w:rsidRDefault="00EB04A2" w:rsidP="00AD6FBD">
      <w:pPr>
        <w:pStyle w:val="jgrref"/>
        <w:spacing w:line="260" w:lineRule="exact"/>
        <w:rPr>
          <w:sz w:val="20"/>
        </w:rPr>
      </w:pPr>
      <w:r w:rsidRPr="00AD6FBD">
        <w:rPr>
          <w:sz w:val="20"/>
        </w:rPr>
        <w:t xml:space="preserve">Zickfeld, K., </w:t>
      </w:r>
      <w:r w:rsidR="00061620">
        <w:t>et al</w:t>
      </w:r>
      <w:r w:rsidR="00061620">
        <w:rPr>
          <w:rFonts w:eastAsia="宋体"/>
          <w:szCs w:val="20"/>
          <w:lang w:eastAsia="en-US"/>
        </w:rPr>
        <w:t xml:space="preserve"> </w:t>
      </w:r>
      <w:r w:rsidRPr="00AD6FBD">
        <w:rPr>
          <w:sz w:val="20"/>
        </w:rPr>
        <w:t xml:space="preserve">. (2013), Long-term climate change commitment and reversibility: An EMIC intercomparison, </w:t>
      </w:r>
      <w:r w:rsidRPr="00AD6FBD">
        <w:rPr>
          <w:i/>
          <w:iCs/>
          <w:sz w:val="20"/>
        </w:rPr>
        <w:t>J Clim</w:t>
      </w:r>
      <w:r w:rsidRPr="00AD6FBD">
        <w:rPr>
          <w:sz w:val="20"/>
        </w:rPr>
        <w:t xml:space="preserve">, </w:t>
      </w:r>
      <w:r w:rsidRPr="00AD6FBD">
        <w:rPr>
          <w:i/>
          <w:iCs/>
          <w:sz w:val="20"/>
        </w:rPr>
        <w:t>26</w:t>
      </w:r>
      <w:r w:rsidRPr="00AD6FBD">
        <w:rPr>
          <w:sz w:val="20"/>
        </w:rPr>
        <w:t>, 5782-5809, doi:10.1175/jcli-d-12-00584.1.</w:t>
      </w:r>
    </w:p>
    <w:p w14:paraId="7C180039" w14:textId="77777777" w:rsidR="00EB04A2" w:rsidRPr="006668E1" w:rsidRDefault="00EB04A2" w:rsidP="00EB04A2">
      <w:pPr>
        <w:pStyle w:val="hdr"/>
        <w:rPr>
          <w:rFonts w:ascii="Times" w:hAnsi="Times"/>
        </w:rPr>
      </w:pPr>
      <w:r w:rsidRPr="006668E1">
        <w:rPr>
          <w:rFonts w:ascii="Times" w:hAnsi="Times"/>
        </w:rPr>
        <w:lastRenderedPageBreak/>
        <w:t>S2. Relating stocks and concentrations.</w:t>
      </w:r>
    </w:p>
    <w:p w14:paraId="3FCD91E1" w14:textId="77777777" w:rsidR="00EB04A2" w:rsidRDefault="00EB04A2" w:rsidP="00EB04A2">
      <w:pPr>
        <w:pStyle w:val="text"/>
      </w:pPr>
      <w:r>
        <w:t>As with many quantities pertinent to the CO</w:t>
      </w:r>
      <w:r w:rsidRPr="00542FC3">
        <w:rPr>
          <w:position w:val="-4"/>
        </w:rPr>
        <w:t>2</w:t>
      </w:r>
      <w:r>
        <w:t xml:space="preserve"> budget, the precise conversion between stocks and concentrations is of secondary importance. However in taking differences it is necessary to use consistent conversions. For this reason the conversions employed here are stated explicitly. </w:t>
      </w:r>
    </w:p>
    <w:p w14:paraId="4C62324A" w14:textId="77777777" w:rsidR="00EB04A2" w:rsidRDefault="00EB04A2" w:rsidP="00EB04A2">
      <w:pPr>
        <w:pStyle w:val="text"/>
      </w:pPr>
      <w:r>
        <w:t>For the conversion of CO</w:t>
      </w:r>
      <w:r w:rsidRPr="00542FC3">
        <w:rPr>
          <w:position w:val="-4"/>
        </w:rPr>
        <w:t>2</w:t>
      </w:r>
      <w:r>
        <w:t xml:space="preserve"> mixing ratio in dry air </w:t>
      </w:r>
      <w:r w:rsidRPr="007D4470">
        <w:rPr>
          <w:i/>
        </w:rPr>
        <w:t>x</w:t>
      </w:r>
      <w:r w:rsidRPr="00AF2A07">
        <w:rPr>
          <w:position w:val="-4"/>
          <w:sz w:val="16"/>
        </w:rPr>
        <w:t>CO2</w:t>
      </w:r>
      <w:r>
        <w:t xml:space="preserve"> to atmospheric stock </w:t>
      </w:r>
      <w:r w:rsidRPr="007D4470">
        <w:rPr>
          <w:i/>
        </w:rPr>
        <w:t>S</w:t>
      </w:r>
      <w:r w:rsidRPr="007D4470">
        <w:rPr>
          <w:position w:val="-4"/>
        </w:rPr>
        <w:t>a</w:t>
      </w:r>
      <w:r>
        <w:t xml:space="preserve"> </w:t>
      </w:r>
    </w:p>
    <w:p w14:paraId="6E301AA5" w14:textId="5E7ACE34" w:rsidR="00EB04A2" w:rsidRDefault="00AF2A07" w:rsidP="00EB04A2">
      <w:pPr>
        <w:pStyle w:val="eqn"/>
      </w:pPr>
      <w:r w:rsidRPr="00AF2A07">
        <w:rPr>
          <w:position w:val="-10"/>
        </w:rPr>
        <w:object w:dxaOrig="2580" w:dyaOrig="300" w14:anchorId="28458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35pt;height:15.35pt" o:ole="">
            <v:imagedata r:id="rId9" o:title=""/>
          </v:shape>
          <o:OLEObject Type="Embed" ProgID="Equation.DSMT4" ShapeID="_x0000_i1025" DrawAspect="Content" ObjectID="_1571255735" r:id="rId10"/>
        </w:object>
      </w:r>
      <w:r w:rsidR="00EB04A2">
        <w:t>.</w:t>
      </w:r>
      <w:r w:rsidR="00EB04A2">
        <w:tab/>
        <w:t>(S2.1)</w:t>
      </w:r>
    </w:p>
    <w:p w14:paraId="467B1D02" w14:textId="484A6492" w:rsidR="00EB04A2" w:rsidRDefault="00EB04A2" w:rsidP="00EB04A2">
      <w:pPr>
        <w:pStyle w:val="text"/>
      </w:pPr>
      <w:r>
        <w:t xml:space="preserve">where </w:t>
      </w:r>
      <w:r w:rsidRPr="00556C26">
        <w:rPr>
          <w:i/>
        </w:rPr>
        <w:t>N</w:t>
      </w:r>
      <w:r>
        <w:rPr>
          <w:position w:val="-4"/>
        </w:rPr>
        <w:t>air</w:t>
      </w:r>
      <w:r>
        <w:t xml:space="preserve"> is the amount (moles) of air in the global atmosphere (excluding water vapor) and </w:t>
      </w:r>
      <w:r w:rsidRPr="0078319E">
        <w:rPr>
          <w:i/>
        </w:rPr>
        <w:t>M</w:t>
      </w:r>
      <w:r w:rsidRPr="0078319E">
        <w:rPr>
          <w:position w:val="-4"/>
        </w:rPr>
        <w:t>C</w:t>
      </w:r>
      <w:r>
        <w:t xml:space="preserve"> is the molar mass of carbon. AR5 gives the factor </w:t>
      </w:r>
      <w:r w:rsidRPr="009311B2">
        <w:rPr>
          <w:rFonts w:ascii="Symbol" w:hAnsi="Symbol"/>
        </w:rPr>
        <w:t></w:t>
      </w:r>
      <w:r w:rsidRPr="00AF2A07">
        <w:rPr>
          <w:position w:val="-4"/>
          <w:sz w:val="16"/>
        </w:rPr>
        <w:t>CO2</w:t>
      </w:r>
      <w:r>
        <w:t xml:space="preserve"> = 2.12 Pg ppm</w:t>
      </w:r>
      <w:r w:rsidRPr="00324713">
        <w:rPr>
          <w:position w:val="6"/>
        </w:rPr>
        <w:t>-1</w:t>
      </w:r>
      <w:r>
        <w:t xml:space="preserve"> (Ciais </w:t>
      </w:r>
      <w:r w:rsidR="00061620">
        <w:t>et al</w:t>
      </w:r>
      <w:r w:rsidR="00061620">
        <w:rPr>
          <w:rFonts w:ascii="Times" w:eastAsia="宋体" w:hAnsi="Times"/>
          <w:lang w:val="en-US" w:eastAsia="en-US"/>
        </w:rPr>
        <w:t xml:space="preserve"> </w:t>
      </w:r>
      <w:r>
        <w:t xml:space="preserve">., 2013, caption to Figure 6.1), with a citation to Prather </w:t>
      </w:r>
      <w:r w:rsidR="00061620">
        <w:t>et al</w:t>
      </w:r>
      <w:r w:rsidR="00061620">
        <w:rPr>
          <w:rFonts w:ascii="Times" w:eastAsia="宋体" w:hAnsi="Times"/>
          <w:lang w:val="en-US" w:eastAsia="en-US"/>
        </w:rPr>
        <w:t xml:space="preserve"> </w:t>
      </w:r>
      <w:r>
        <w:t xml:space="preserve">. (2012). This conversion factor does not seem to be explicitly stated in Prather </w:t>
      </w:r>
      <w:r w:rsidR="00061620">
        <w:t>et al</w:t>
      </w:r>
      <w:r w:rsidR="00061620">
        <w:rPr>
          <w:rFonts w:ascii="Times" w:eastAsia="宋体" w:hAnsi="Times"/>
          <w:lang w:val="en-US" w:eastAsia="en-US"/>
        </w:rPr>
        <w:t xml:space="preserve"> </w:t>
      </w:r>
      <w:r>
        <w:t xml:space="preserve">. (2012), but the conversion factor 0.1765 Tmol per ppb of dry air, equivalent to </w:t>
      </w:r>
      <w:r w:rsidRPr="00B439C7">
        <w:rPr>
          <w:i/>
        </w:rPr>
        <w:t>N</w:t>
      </w:r>
      <w:r w:rsidRPr="00B439C7">
        <w:rPr>
          <w:position w:val="-4"/>
        </w:rPr>
        <w:t>air</w:t>
      </w:r>
      <w:r>
        <w:t xml:space="preserve"> = 1.765 </w:t>
      </w:r>
      <w:r>
        <w:sym w:font="Symbol" w:char="F0B4"/>
      </w:r>
      <w:r>
        <w:t xml:space="preserve"> 10</w:t>
      </w:r>
      <w:r w:rsidRPr="00B439C7">
        <w:rPr>
          <w:position w:val="6"/>
        </w:rPr>
        <w:t>20</w:t>
      </w:r>
      <w:r>
        <w:t xml:space="preserve"> mol) is given (Prather </w:t>
      </w:r>
      <w:r w:rsidR="00061620">
        <w:t>et al</w:t>
      </w:r>
      <w:r w:rsidR="00061620">
        <w:rPr>
          <w:rFonts w:ascii="Times" w:eastAsia="宋体" w:hAnsi="Times"/>
          <w:lang w:val="en-US" w:eastAsia="en-US"/>
        </w:rPr>
        <w:t xml:space="preserve"> </w:t>
      </w:r>
      <w:r>
        <w:t xml:space="preserve">., 2012, SI file </w:t>
      </w:r>
      <w:r w:rsidRPr="00A0305A">
        <w:t>grl29135-sup-0005-ts02.doc</w:t>
      </w:r>
      <w:r>
        <w:t xml:space="preserve">), which, together with </w:t>
      </w:r>
      <w:r w:rsidRPr="0078319E">
        <w:rPr>
          <w:i/>
        </w:rPr>
        <w:t>M</w:t>
      </w:r>
      <w:r w:rsidRPr="00AF2A07">
        <w:rPr>
          <w:position w:val="-4"/>
          <w:sz w:val="16"/>
        </w:rPr>
        <w:t>C</w:t>
      </w:r>
      <w:r>
        <w:t xml:space="preserve"> 0.01201 kg mol</w:t>
      </w:r>
      <w:r w:rsidRPr="00D27DEE">
        <w:rPr>
          <w:position w:val="6"/>
        </w:rPr>
        <w:t>-1</w:t>
      </w:r>
      <w:r>
        <w:t xml:space="preserve">, yields </w:t>
      </w:r>
      <w:r w:rsidRPr="009311B2">
        <w:rPr>
          <w:rFonts w:ascii="Symbol" w:hAnsi="Symbol"/>
        </w:rPr>
        <w:t></w:t>
      </w:r>
      <w:r w:rsidRPr="00AF2A07">
        <w:rPr>
          <w:position w:val="-4"/>
          <w:sz w:val="16"/>
        </w:rPr>
        <w:t>CO2</w:t>
      </w:r>
      <w:r>
        <w:t xml:space="preserve"> = 2.120 Pg ppm</w:t>
      </w:r>
      <w:r w:rsidRPr="003B57E5">
        <w:rPr>
          <w:position w:val="6"/>
        </w:rPr>
        <w:t>-1</w:t>
      </w:r>
      <w:r>
        <w:t>. This value is used throughout the present paper. By this conversion the stock of atmospheric CO</w:t>
      </w:r>
      <w:r w:rsidRPr="00542FC3">
        <w:rPr>
          <w:position w:val="-4"/>
        </w:rPr>
        <w:t>2</w:t>
      </w:r>
      <w:r>
        <w:t xml:space="preserve"> at the preindustrial mixing ratio taken as 278 ppm is 589.4 Pg, and the stock corresponding to the current (2016) CO</w:t>
      </w:r>
      <w:r w:rsidRPr="00542FC3">
        <w:rPr>
          <w:position w:val="-4"/>
        </w:rPr>
        <w:t>2</w:t>
      </w:r>
      <w:r>
        <w:t xml:space="preserve"> mixing ratio 405 ppm is 858.6 Pg, yielding for the anthropogenic increment 269.2 Pg. These quantities, which are presented in </w:t>
      </w:r>
      <w:r w:rsidR="00061620">
        <w:rPr>
          <w:b/>
        </w:rPr>
        <w:t>Fig.</w:t>
      </w:r>
      <w:r w:rsidRPr="0078319E">
        <w:rPr>
          <w:b/>
        </w:rPr>
        <w:t xml:space="preserve"> 2</w:t>
      </w:r>
      <w:r w:rsidR="00061620">
        <w:t xml:space="preserve"> of main text</w:t>
      </w:r>
      <w:r>
        <w:t xml:space="preserve"> are used in the analysis of the preindustrial and present budgets. </w:t>
      </w:r>
    </w:p>
    <w:p w14:paraId="7C14B34F" w14:textId="145D9C1F" w:rsidR="00EB04A2" w:rsidRDefault="00EB04A2" w:rsidP="00EB04A2">
      <w:pPr>
        <w:pStyle w:val="text"/>
      </w:pPr>
      <w:r>
        <w:t>The concentration of dissolved inorganic carbon DIC or of one of the three constituent species carbonic acid H</w:t>
      </w:r>
      <w:r w:rsidRPr="00C66B7F">
        <w:rPr>
          <w:position w:val="-4"/>
        </w:rPr>
        <w:t>2</w:t>
      </w:r>
      <w:r>
        <w:t>CO</w:t>
      </w:r>
      <w:r w:rsidRPr="00C66B7F">
        <w:rPr>
          <w:position w:val="-4"/>
        </w:rPr>
        <w:t>3</w:t>
      </w:r>
      <w:r>
        <w:t xml:space="preserve"> and bicarbonate </w:t>
      </w:r>
      <w:r w:rsidR="00AF2A07" w:rsidRPr="00AF2A07">
        <w:rPr>
          <w:position w:val="-10"/>
        </w:rPr>
        <w:object w:dxaOrig="600" w:dyaOrig="360" w14:anchorId="39A50989">
          <v:shape id="_x0000_i1026" type="#_x0000_t75" style="width:30pt;height:18pt" o:ole="">
            <v:imagedata r:id="rId11" o:title=""/>
          </v:shape>
          <o:OLEObject Type="Embed" ProgID="Equation.DSMT4" ShapeID="_x0000_i1026" DrawAspect="Content" ObjectID="_1571255736" r:id="rId12"/>
        </w:object>
      </w:r>
      <w:r>
        <w:t xml:space="preserve"> and carbonate </w:t>
      </w:r>
      <w:r w:rsidR="00AF2A07" w:rsidRPr="00AF2A07">
        <w:rPr>
          <w:position w:val="-10"/>
        </w:rPr>
        <w:object w:dxaOrig="540" w:dyaOrig="360" w14:anchorId="7548ADDD">
          <v:shape id="_x0000_i1027" type="#_x0000_t75" style="width:27.35pt;height:18pt" o:ole="">
            <v:imagedata r:id="rId13" o:title=""/>
          </v:shape>
          <o:OLEObject Type="Embed" ProgID="Equation.DSMT4" ShapeID="_x0000_i1027" DrawAspect="Content" ObjectID="_1571255737" r:id="rId14"/>
        </w:object>
      </w:r>
      <w:r>
        <w:t>ions is commonly given as chemical amount per mass of seawater, mol</w:t>
      </w:r>
      <w:r w:rsidR="00AF2A07" w:rsidRPr="00AF2A07">
        <w:rPr>
          <w:position w:val="-10"/>
        </w:rPr>
        <w:object w:dxaOrig="460" w:dyaOrig="360" w14:anchorId="2FB8F7FB">
          <v:shape id="_x0000_i1028" type="#_x0000_t75" style="width:23.35pt;height:18pt" o:ole="">
            <v:imagedata r:id="rId15" o:title=""/>
          </v:shape>
          <o:OLEObject Type="Embed" ProgID="Equation.DSMT4" ShapeID="_x0000_i1028" DrawAspect="Content" ObjectID="_1571255738" r:id="rId16"/>
        </w:object>
      </w:r>
      <w:r>
        <w:t>. As the budget of CO</w:t>
      </w:r>
      <w:r w:rsidRPr="00542FC3">
        <w:rPr>
          <w:position w:val="-4"/>
        </w:rPr>
        <w:t>2</w:t>
      </w:r>
      <w:r>
        <w:t xml:space="preserve"> is commonly expressed in terms of stocks, unit typically Pg</w:t>
      </w:r>
      <w:r w:rsidR="006A52B2">
        <w:t xml:space="preserve"> of carbon</w:t>
      </w:r>
      <w:r>
        <w:t xml:space="preserve">, it is necessary to relate the concentration of DIC to the stock </w:t>
      </w:r>
      <w:r w:rsidRPr="00DA3C30">
        <w:rPr>
          <w:i/>
        </w:rPr>
        <w:t>S</w:t>
      </w:r>
      <w:r>
        <w:t xml:space="preserve">, similarly to relating atmospheric mixing ratio to atmospheric stock. A principal difference is that the stock of DIC in the ML or in the DO compartment depends on (and is proportional to) the depth taken for the compartment, </w:t>
      </w:r>
      <w:r w:rsidRPr="00873036">
        <w:rPr>
          <w:i/>
        </w:rPr>
        <w:t>z</w:t>
      </w:r>
      <w:r w:rsidRPr="00E939D1">
        <w:rPr>
          <w:i/>
          <w:position w:val="-4"/>
        </w:rPr>
        <w:t>i</w:t>
      </w:r>
      <w:r>
        <w:t xml:space="preserve"> = </w:t>
      </w:r>
      <w:r w:rsidRPr="002931D0">
        <w:rPr>
          <w:i/>
        </w:rPr>
        <w:t>z</w:t>
      </w:r>
      <w:r w:rsidRPr="002931D0">
        <w:rPr>
          <w:position w:val="-4"/>
        </w:rPr>
        <w:t>m</w:t>
      </w:r>
      <w:r>
        <w:t xml:space="preserve"> or </w:t>
      </w:r>
      <w:r w:rsidRPr="00477829">
        <w:rPr>
          <w:i/>
        </w:rPr>
        <w:t>z</w:t>
      </w:r>
      <w:r w:rsidRPr="002931D0">
        <w:rPr>
          <w:position w:val="-4"/>
        </w:rPr>
        <w:t>d</w:t>
      </w:r>
      <w:r>
        <w:t xml:space="preserve">, respectively. Thus, </w:t>
      </w:r>
    </w:p>
    <w:p w14:paraId="412FD8E2" w14:textId="6CB279BA" w:rsidR="00EB04A2" w:rsidRDefault="00AF2A07" w:rsidP="00EB04A2">
      <w:pPr>
        <w:pStyle w:val="eqn"/>
      </w:pPr>
      <w:r w:rsidRPr="00AF2A07">
        <w:rPr>
          <w:position w:val="-12"/>
        </w:rPr>
        <w:object w:dxaOrig="5040" w:dyaOrig="380" w14:anchorId="15F4B887">
          <v:shape id="_x0000_i1029" type="#_x0000_t75" style="width:252pt;height:19.35pt" o:ole="">
            <v:imagedata r:id="rId17" o:title=""/>
          </v:shape>
          <o:OLEObject Type="Embed" ProgID="Equation.DSMT4" ShapeID="_x0000_i1029" DrawAspect="Content" ObjectID="_1571255739" r:id="rId18"/>
        </w:object>
      </w:r>
      <w:r w:rsidR="00EB04A2">
        <w:t>.</w:t>
      </w:r>
      <w:r w:rsidR="00EB04A2">
        <w:tab/>
        <w:t>(S2.2)</w:t>
      </w:r>
    </w:p>
    <w:p w14:paraId="63A02141" w14:textId="6D3E8765" w:rsidR="00EB04A2" w:rsidRDefault="00EB04A2" w:rsidP="00EB04A2">
      <w:pPr>
        <w:pStyle w:val="text"/>
      </w:pPr>
      <w:r>
        <w:t xml:space="preserve">where </w:t>
      </w:r>
      <w:r w:rsidRPr="000B2B2E">
        <w:rPr>
          <w:i/>
        </w:rPr>
        <w:t>A</w:t>
      </w:r>
      <w:r w:rsidRPr="00EA0547">
        <w:rPr>
          <w:position w:val="-4"/>
        </w:rPr>
        <w:t>o</w:t>
      </w:r>
      <w:r>
        <w:t xml:space="preserve"> denotes the area of the world ocean, 3.619 </w:t>
      </w:r>
      <w:r>
        <w:sym w:font="Symbol" w:char="F0B4"/>
      </w:r>
      <w:r>
        <w:t xml:space="preserve"> 10</w:t>
      </w:r>
      <w:r w:rsidRPr="008E1D44">
        <w:rPr>
          <w:position w:val="6"/>
        </w:rPr>
        <w:t>14</w:t>
      </w:r>
      <w:r>
        <w:t xml:space="preserve"> m</w:t>
      </w:r>
      <w:r w:rsidRPr="008E1D44">
        <w:rPr>
          <w:position w:val="6"/>
        </w:rPr>
        <w:t>2</w:t>
      </w:r>
      <w:r>
        <w:t xml:space="preserve"> (Eakins and</w:t>
      </w:r>
      <w:bookmarkStart w:id="0" w:name="_GoBack"/>
      <w:bookmarkEnd w:id="0"/>
      <w:r>
        <w:t xml:space="preserve"> Sharman, 2012) and [DIC]</w:t>
      </w:r>
      <w:r w:rsidRPr="00215B5A">
        <w:rPr>
          <w:position w:val="-4"/>
        </w:rPr>
        <w:t>vol</w:t>
      </w:r>
      <w:r>
        <w:rPr>
          <w:i/>
          <w:position w:val="-4"/>
        </w:rPr>
        <w:t>,i</w:t>
      </w:r>
      <w:r>
        <w:t xml:space="preserve"> denotes the volumetric concentration, mass per volume, here, kg m</w:t>
      </w:r>
      <w:r w:rsidRPr="00087482">
        <w:rPr>
          <w:position w:val="6"/>
        </w:rPr>
        <w:t>-3</w:t>
      </w:r>
      <w:r>
        <w:t>, in the respective compartment. [DIC]</w:t>
      </w:r>
      <w:r w:rsidRPr="000E0817">
        <w:rPr>
          <w:i/>
          <w:position w:val="-4"/>
        </w:rPr>
        <w:t>m/v</w:t>
      </w:r>
      <w:r>
        <w:t xml:space="preserve"> is related to concentration in the more customary unit for this quantity, [DIC](mol</w:t>
      </w:r>
      <w:r w:rsidR="00AF2A07" w:rsidRPr="00AF2A07">
        <w:rPr>
          <w:position w:val="-10"/>
        </w:rPr>
        <w:object w:dxaOrig="460" w:dyaOrig="360" w14:anchorId="6CEA229B">
          <v:shape id="_x0000_i1030" type="#_x0000_t75" style="width:23.35pt;height:18pt" o:ole="">
            <v:imagedata r:id="rId19" o:title=""/>
          </v:shape>
          <o:OLEObject Type="Embed" ProgID="Equation.DSMT4" ShapeID="_x0000_i1030" DrawAspect="Content" ObjectID="_1571255740" r:id="rId20"/>
        </w:object>
      </w:r>
      <w:r>
        <w:t xml:space="preserve">) as </w:t>
      </w:r>
    </w:p>
    <w:p w14:paraId="11289B93" w14:textId="729147D0" w:rsidR="00EB04A2" w:rsidRDefault="00AF2A07" w:rsidP="00EB04A2">
      <w:pPr>
        <w:pStyle w:val="eqn"/>
      </w:pPr>
      <w:r w:rsidRPr="00AF2A07">
        <w:rPr>
          <w:position w:val="-10"/>
        </w:rPr>
        <w:object w:dxaOrig="5800" w:dyaOrig="360" w14:anchorId="4A7CF019">
          <v:shape id="_x0000_i1031" type="#_x0000_t75" style="width:290pt;height:18pt" o:ole="">
            <v:imagedata r:id="rId21" o:title=""/>
          </v:shape>
          <o:OLEObject Type="Embed" ProgID="Equation.DSMT4" ShapeID="_x0000_i1031" DrawAspect="Content" ObjectID="_1571255741" r:id="rId22"/>
        </w:object>
      </w:r>
      <w:r w:rsidR="00EB04A2">
        <w:t>.</w:t>
      </w:r>
      <w:r w:rsidR="00EB04A2">
        <w:tab/>
        <w:t>(S2.3)</w:t>
      </w:r>
    </w:p>
    <w:p w14:paraId="5DE50B86" w14:textId="1AA0F23A" w:rsidR="00EB04A2" w:rsidRDefault="00EB04A2" w:rsidP="00EB04A2">
      <w:pPr>
        <w:pStyle w:val="text"/>
      </w:pPr>
      <w:r>
        <w:lastRenderedPageBreak/>
        <w:t xml:space="preserve">where </w:t>
      </w:r>
      <w:r w:rsidRPr="000604BB">
        <w:rPr>
          <w:rFonts w:ascii="Symbol" w:hAnsi="Symbol"/>
          <w:i/>
        </w:rPr>
        <w:t></w:t>
      </w:r>
      <w:r w:rsidRPr="000604BB">
        <w:rPr>
          <w:position w:val="-4"/>
        </w:rPr>
        <w:t>sw</w:t>
      </w:r>
      <w:r>
        <w:t xml:space="preserve"> is the density of seawater (1025 kg m</w:t>
      </w:r>
      <w:r w:rsidRPr="00FC00C8">
        <w:rPr>
          <w:position w:val="6"/>
        </w:rPr>
        <w:t>-3</w:t>
      </w:r>
      <w:r>
        <w:t xml:space="preserve">), and </w:t>
      </w:r>
      <w:r w:rsidRPr="000C21E5">
        <w:rPr>
          <w:i/>
        </w:rPr>
        <w:t>m</w:t>
      </w:r>
      <w:r>
        <w:t xml:space="preserve"> denotes the DIC concentration in molality units </w:t>
      </w:r>
      <w:r w:rsidR="00AF2A07" w:rsidRPr="00AF2A07">
        <w:rPr>
          <w:position w:val="-10"/>
        </w:rPr>
        <w:object w:dxaOrig="980" w:dyaOrig="360" w14:anchorId="2B7954D7">
          <v:shape id="_x0000_i1032" type="#_x0000_t75" style="width:49.35pt;height:18pt" o:ole="">
            <v:imagedata r:id="rId23" o:title=""/>
          </v:shape>
          <o:OLEObject Type="Embed" ProgID="Equation.DSMT4" ShapeID="_x0000_i1032" DrawAspect="Content" ObjectID="_1571255742" r:id="rId24"/>
        </w:object>
      </w:r>
      <w:r>
        <w:t xml:space="preserve"> from which, for either compartment</w:t>
      </w:r>
    </w:p>
    <w:p w14:paraId="36F80B91" w14:textId="511CBE8C" w:rsidR="00EB04A2" w:rsidRDefault="00EB04A2" w:rsidP="00EB04A2">
      <w:pPr>
        <w:pStyle w:val="eqn"/>
        <w:ind w:hanging="270"/>
      </w:pPr>
      <w:r>
        <w:t xml:space="preserve"> </w:t>
      </w:r>
      <w:r>
        <w:tab/>
      </w:r>
      <w:r w:rsidR="00AF2A07" w:rsidRPr="00AF2A07">
        <w:rPr>
          <w:position w:val="-10"/>
        </w:rPr>
        <w:object w:dxaOrig="7880" w:dyaOrig="360" w14:anchorId="56C6E975">
          <v:shape id="_x0000_i1033" type="#_x0000_t75" style="width:394pt;height:18pt" o:ole="">
            <v:imagedata r:id="rId25" o:title=""/>
          </v:shape>
          <o:OLEObject Type="Embed" ProgID="Equation.DSMT4" ShapeID="_x0000_i1033" DrawAspect="Content" ObjectID="_1571255743" r:id="rId26"/>
        </w:object>
      </w:r>
      <w:r>
        <w:t>,</w:t>
      </w:r>
      <w:r>
        <w:tab/>
        <w:t>(S2.4)</w:t>
      </w:r>
    </w:p>
    <w:p w14:paraId="64E08520" w14:textId="7AE088ED" w:rsidR="00EB04A2" w:rsidRDefault="00EB04A2" w:rsidP="00EB04A2">
      <w:pPr>
        <w:pStyle w:val="eqn"/>
      </w:pPr>
      <w:r>
        <w:t>or</w:t>
      </w:r>
      <w:r w:rsidR="00AF2A07" w:rsidRPr="00AF2A07">
        <w:rPr>
          <w:position w:val="-10"/>
        </w:rPr>
        <w:object w:dxaOrig="5300" w:dyaOrig="360" w14:anchorId="12F1EF00">
          <v:shape id="_x0000_i1034" type="#_x0000_t75" style="width:265.35pt;height:18pt" o:ole="">
            <v:imagedata r:id="rId27" o:title=""/>
          </v:shape>
          <o:OLEObject Type="Embed" ProgID="Equation.DSMT4" ShapeID="_x0000_i1034" DrawAspect="Content" ObjectID="_1571255744" r:id="rId28"/>
        </w:object>
      </w:r>
      <w:r>
        <w:t>.</w:t>
      </w:r>
      <w:r>
        <w:tab/>
        <w:t>(S2.5)</w:t>
      </w:r>
    </w:p>
    <w:p w14:paraId="14601975" w14:textId="314B53ED" w:rsidR="00EB04A2" w:rsidRDefault="00EB04A2" w:rsidP="00EB04A2">
      <w:pPr>
        <w:pStyle w:val="text"/>
      </w:pPr>
      <w:r>
        <w:t>For the preindustrial burden of DIC in the mixed layer as calculated with the CO</w:t>
      </w:r>
      <w:r w:rsidRPr="00542FC3">
        <w:rPr>
          <w:position w:val="-4"/>
        </w:rPr>
        <w:t>2</w:t>
      </w:r>
      <w:r>
        <w:t>SYS program (Lewis and Wallace, 1998) for CO</w:t>
      </w:r>
      <w:r w:rsidRPr="00542FC3">
        <w:rPr>
          <w:position w:val="-4"/>
        </w:rPr>
        <w:t>2</w:t>
      </w:r>
      <w:r>
        <w:t xml:space="preserve"> mixing ratio taken as 278 ppm (and alkalinity 2349 </w:t>
      </w:r>
      <w:r w:rsidRPr="002E2948">
        <w:t>µ</w:t>
      </w:r>
      <w:r>
        <w:t>mol</w:t>
      </w:r>
      <w:r w:rsidR="00AF2A07" w:rsidRPr="00AF2A07">
        <w:rPr>
          <w:position w:val="-10"/>
        </w:rPr>
        <w:object w:dxaOrig="460" w:dyaOrig="360" w14:anchorId="517CFDFD">
          <v:shape id="_x0000_i1035" type="#_x0000_t75" style="width:23.35pt;height:18pt" o:ole="">
            <v:imagedata r:id="rId29" o:title=""/>
          </v:shape>
          <o:OLEObject Type="Embed" ProgID="Equation.DSMT4" ShapeID="_x0000_i1035" DrawAspect="Content" ObjectID="_1571255745" r:id="rId30"/>
        </w:object>
      </w:r>
      <w:r>
        <w:t xml:space="preserve">, temperature 18˚C, and salinity 35 as used throughout this paper), the corresponding equilibrium concentration of DIC is 2020 </w:t>
      </w:r>
      <w:r w:rsidRPr="002E2948">
        <w:t>µ</w:t>
      </w:r>
      <w:r>
        <w:t>mol</w:t>
      </w:r>
      <w:r w:rsidR="00AF2A07" w:rsidRPr="00AF2A07">
        <w:rPr>
          <w:position w:val="-10"/>
        </w:rPr>
        <w:object w:dxaOrig="460" w:dyaOrig="360" w14:anchorId="268983E2">
          <v:shape id="_x0000_i1036" type="#_x0000_t75" style="width:23.35pt;height:18pt" o:ole="">
            <v:imagedata r:id="rId31" o:title=""/>
          </v:shape>
          <o:OLEObject Type="Embed" ProgID="Equation.DSMT4" ShapeID="_x0000_i1036" DrawAspect="Content" ObjectID="_1571255746" r:id="rId32"/>
        </w:object>
      </w:r>
      <w:r>
        <w:t xml:space="preserve">, and the equilibrium stock of DIC in the ML is 900 Pg. Similarly for </w:t>
      </w:r>
      <w:r w:rsidRPr="00E420E3">
        <w:rPr>
          <w:i/>
        </w:rPr>
        <w:t>z</w:t>
      </w:r>
      <w:r w:rsidRPr="00E420E3">
        <w:rPr>
          <w:position w:val="-4"/>
        </w:rPr>
        <w:t>d</w:t>
      </w:r>
      <w:r>
        <w:t xml:space="preserve"> = 3583 m, (Eakins and Sharman, 2012) and preindustrial deep ocean DIC 2250 </w:t>
      </w:r>
      <w:r w:rsidRPr="002E2948">
        <w:t>µ</w:t>
      </w:r>
      <w:r>
        <w:t>mol</w:t>
      </w:r>
      <w:r w:rsidR="00AF2A07" w:rsidRPr="00AF2A07">
        <w:rPr>
          <w:position w:val="-10"/>
        </w:rPr>
        <w:object w:dxaOrig="460" w:dyaOrig="360" w14:anchorId="70CFD6B5">
          <v:shape id="_x0000_i1037" type="#_x0000_t75" style="width:23.35pt;height:18pt" o:ole="">
            <v:imagedata r:id="rId33" o:title=""/>
          </v:shape>
          <o:OLEObject Type="Embed" ProgID="Equation.DSMT4" ShapeID="_x0000_i1037" DrawAspect="Content" ObjectID="_1571255747" r:id="rId34"/>
        </w:object>
      </w:r>
      <w:r>
        <w:t xml:space="preserve">, (Key </w:t>
      </w:r>
      <w:r w:rsidR="00061620">
        <w:t>et al</w:t>
      </w:r>
      <w:r w:rsidR="00061620">
        <w:rPr>
          <w:rFonts w:ascii="Times" w:eastAsia="宋体" w:hAnsi="Times"/>
          <w:lang w:val="en-US" w:eastAsia="en-US"/>
        </w:rPr>
        <w:t xml:space="preserve"> </w:t>
      </w:r>
      <w:r>
        <w:t xml:space="preserve">., 2004; McKinley </w:t>
      </w:r>
      <w:r w:rsidR="00061620">
        <w:t>et al</w:t>
      </w:r>
      <w:r w:rsidR="00061620">
        <w:rPr>
          <w:rFonts w:ascii="Times" w:eastAsia="宋体" w:hAnsi="Times"/>
          <w:lang w:val="en-US" w:eastAsia="en-US"/>
        </w:rPr>
        <w:t xml:space="preserve"> </w:t>
      </w:r>
      <w:r>
        <w:t xml:space="preserve">., 2017) </w:t>
      </w:r>
      <w:r w:rsidRPr="001B56F2">
        <w:rPr>
          <w:i/>
        </w:rPr>
        <w:t>S</w:t>
      </w:r>
      <w:r w:rsidRPr="001B56F2">
        <w:rPr>
          <w:position w:val="-4"/>
        </w:rPr>
        <w:t>d</w:t>
      </w:r>
      <w:r>
        <w:t xml:space="preserve"> = 36823 Pg, as given in </w:t>
      </w:r>
      <w:r w:rsidR="00061620">
        <w:rPr>
          <w:b/>
        </w:rPr>
        <w:t>Fig.</w:t>
      </w:r>
      <w:r w:rsidRPr="00507D81">
        <w:rPr>
          <w:b/>
        </w:rPr>
        <w:t xml:space="preserve"> 2</w:t>
      </w:r>
      <w:r>
        <w:t xml:space="preserve">. </w:t>
      </w:r>
    </w:p>
    <w:p w14:paraId="45BD6882" w14:textId="77777777" w:rsidR="00EB04A2" w:rsidRPr="006668E1" w:rsidRDefault="00EB04A2" w:rsidP="00EB04A2">
      <w:pPr>
        <w:pStyle w:val="hdr"/>
        <w:rPr>
          <w:rFonts w:ascii="Times" w:hAnsi="Times"/>
        </w:rPr>
      </w:pPr>
      <w:r w:rsidRPr="006668E1">
        <w:rPr>
          <w:rFonts w:ascii="Times" w:hAnsi="Times"/>
        </w:rPr>
        <w:t>S3. Equilibrium solubility of CO</w:t>
      </w:r>
      <w:r w:rsidRPr="006668E1">
        <w:rPr>
          <w:rFonts w:ascii="Times" w:hAnsi="Times"/>
          <w:position w:val="-4"/>
        </w:rPr>
        <w:t>2</w:t>
      </w:r>
      <w:r w:rsidRPr="006668E1">
        <w:rPr>
          <w:rFonts w:ascii="Times" w:hAnsi="Times"/>
        </w:rPr>
        <w:t xml:space="preserve"> in ocean surface water. </w:t>
      </w:r>
    </w:p>
    <w:p w14:paraId="0E5F1640" w14:textId="3C322A3D" w:rsidR="00EB04A2" w:rsidRDefault="00EB04A2" w:rsidP="00EB04A2">
      <w:pPr>
        <w:pStyle w:val="text"/>
      </w:pPr>
      <w:r>
        <w:t>The equilibrium solubility of CO</w:t>
      </w:r>
      <w:r w:rsidRPr="00354C88">
        <w:rPr>
          <w:position w:val="-4"/>
        </w:rPr>
        <w:t>2</w:t>
      </w:r>
      <w:r>
        <w:t xml:space="preserve"> in seawater directly affects the distribution of excess CO</w:t>
      </w:r>
      <w:r w:rsidRPr="00354C88">
        <w:rPr>
          <w:position w:val="-4"/>
        </w:rPr>
        <w:t>2</w:t>
      </w:r>
      <w:r>
        <w:t xml:space="preserve"> between the atmospheric and mixed–layer compartments. As noted in the main text </w:t>
      </w:r>
      <w:r w:rsidRPr="002C0187">
        <w:rPr>
          <w:b/>
        </w:rPr>
        <w:t>§2</w:t>
      </w:r>
      <w:r>
        <w:t>, the equilibrium concentration of DIC in seawater exhibits a sublinear dependence on CO</w:t>
      </w:r>
      <w:r w:rsidRPr="00542FC3">
        <w:rPr>
          <w:position w:val="-4"/>
        </w:rPr>
        <w:t>2</w:t>
      </w:r>
      <w:r>
        <w:t xml:space="preserve"> mixing ratio; </w:t>
      </w:r>
      <w:r w:rsidRPr="008F7563">
        <w:rPr>
          <w:i/>
        </w:rPr>
        <w:t>i.e</w:t>
      </w:r>
      <w:r>
        <w:t>., solubility decreasing with increasing CO</w:t>
      </w:r>
      <w:r w:rsidRPr="00B04435">
        <w:rPr>
          <w:position w:val="-4"/>
        </w:rPr>
        <w:t>2</w:t>
      </w:r>
      <w:r>
        <w:t xml:space="preserve"> mixing ratio </w:t>
      </w:r>
      <w:r>
        <w:rPr>
          <w:i/>
        </w:rPr>
        <w:t>x</w:t>
      </w:r>
      <w:r>
        <w:rPr>
          <w:position w:val="-4"/>
        </w:rPr>
        <w:t>CO</w:t>
      </w:r>
      <w:r w:rsidRPr="00542FC3">
        <w:rPr>
          <w:position w:val="-4"/>
        </w:rPr>
        <w:t>2</w:t>
      </w:r>
      <w:r>
        <w:t>. For the analysis presented here the solubility of CO</w:t>
      </w:r>
      <w:r w:rsidRPr="00D56FC4">
        <w:rPr>
          <w:position w:val="-4"/>
        </w:rPr>
        <w:t>2</w:t>
      </w:r>
      <w:r>
        <w:t xml:space="preserve"> was calculated with the program CO</w:t>
      </w:r>
      <w:r w:rsidRPr="008C353B">
        <w:rPr>
          <w:position w:val="-4"/>
        </w:rPr>
        <w:t>2</w:t>
      </w:r>
      <w:r>
        <w:t xml:space="preserve">SYS (Lewis and Wallace, 1998) for temperature 18˚C, representative of the mean for the global ocean, and for alkalinity 2349 </w:t>
      </w:r>
      <w:r w:rsidRPr="006668E1">
        <w:t>µ</w:t>
      </w:r>
      <w:r>
        <w:t>mol</w:t>
      </w:r>
      <w:r w:rsidR="00AF2A07" w:rsidRPr="00AF2A07">
        <w:rPr>
          <w:position w:val="-10"/>
        </w:rPr>
        <w:object w:dxaOrig="460" w:dyaOrig="360" w14:anchorId="14EAE68C">
          <v:shape id="_x0000_i1038" type="#_x0000_t75" style="width:23.35pt;height:18pt" o:ole="">
            <v:imagedata r:id="rId35" o:title=""/>
          </v:shape>
          <o:OLEObject Type="Embed" ProgID="Equation.DSMT4" ShapeID="_x0000_i1038" DrawAspect="Content" ObjectID="_1571255748" r:id="rId36"/>
        </w:object>
      </w:r>
      <w:r>
        <w:t xml:space="preserve">, selected to obtain preindustrial stock of DIC equal to 900 Pg as given in previous analyses. Equilibrium DIC is shown in </w:t>
      </w:r>
      <w:r w:rsidR="00061620">
        <w:rPr>
          <w:b/>
        </w:rPr>
        <w:t>Fig.</w:t>
      </w:r>
      <w:r w:rsidRPr="002C0187">
        <w:rPr>
          <w:b/>
        </w:rPr>
        <w:t xml:space="preserve"> S</w:t>
      </w:r>
      <w:r>
        <w:rPr>
          <w:b/>
        </w:rPr>
        <w:t>3.</w:t>
      </w:r>
      <w:r w:rsidRPr="002C0187">
        <w:rPr>
          <w:b/>
        </w:rPr>
        <w:t>1</w:t>
      </w:r>
      <w:r w:rsidRPr="00B04435">
        <w:t xml:space="preserve"> for the</w:t>
      </w:r>
      <w:r>
        <w:t xml:space="preserve"> entire range of </w:t>
      </w:r>
      <w:r>
        <w:rPr>
          <w:i/>
        </w:rPr>
        <w:t>x</w:t>
      </w:r>
      <w:r>
        <w:rPr>
          <w:position w:val="-4"/>
        </w:rPr>
        <w:t>CO</w:t>
      </w:r>
      <w:r w:rsidRPr="00542FC3">
        <w:rPr>
          <w:position w:val="-4"/>
        </w:rPr>
        <w:t>2</w:t>
      </w:r>
      <w:r>
        <w:t xml:space="preserve"> and in </w:t>
      </w:r>
      <w:r w:rsidR="00061620">
        <w:rPr>
          <w:b/>
        </w:rPr>
        <w:t>Fig.</w:t>
      </w:r>
      <w:r w:rsidRPr="00B04435">
        <w:rPr>
          <w:b/>
        </w:rPr>
        <w:t xml:space="preserve"> </w:t>
      </w:r>
      <w:r>
        <w:rPr>
          <w:b/>
        </w:rPr>
        <w:t>S</w:t>
      </w:r>
      <w:r w:rsidRPr="00B04435">
        <w:rPr>
          <w:b/>
        </w:rPr>
        <w:t>3.2</w:t>
      </w:r>
      <w:r w:rsidRPr="00F22C5D">
        <w:rPr>
          <w:b/>
          <w:i/>
        </w:rPr>
        <w:t>a</w:t>
      </w:r>
      <w:r>
        <w:t xml:space="preserve"> for the range of </w:t>
      </w:r>
      <w:r w:rsidRPr="004B4778">
        <w:rPr>
          <w:i/>
        </w:rPr>
        <w:t>x</w:t>
      </w:r>
      <w:r w:rsidRPr="004B4778">
        <w:rPr>
          <w:position w:val="-4"/>
        </w:rPr>
        <w:t>CO2</w:t>
      </w:r>
      <w:r>
        <w:t xml:space="preserve"> pertinent to the Anthropocene. The sublinearity of the dependence of DIC on </w:t>
      </w:r>
      <w:r>
        <w:rPr>
          <w:i/>
        </w:rPr>
        <w:t>x</w:t>
      </w:r>
      <w:r>
        <w:rPr>
          <w:position w:val="-4"/>
        </w:rPr>
        <w:t>CO</w:t>
      </w:r>
      <w:r w:rsidRPr="00542FC3">
        <w:rPr>
          <w:position w:val="-4"/>
        </w:rPr>
        <w:t>2</w:t>
      </w:r>
      <w:r>
        <w:t xml:space="preserve">, which is manifested in the relative increase of </w:t>
      </w:r>
      <w:r w:rsidRPr="004B4778">
        <w:rPr>
          <w:i/>
        </w:rPr>
        <w:t>S</w:t>
      </w:r>
      <w:r w:rsidRPr="004B4778">
        <w:rPr>
          <w:position w:val="-4"/>
        </w:rPr>
        <w:t>m</w:t>
      </w:r>
      <w:r>
        <w:t xml:space="preserve"> over the Anthropocene being much less than that of </w:t>
      </w:r>
      <w:r w:rsidRPr="004B4778">
        <w:rPr>
          <w:i/>
        </w:rPr>
        <w:t>S</w:t>
      </w:r>
      <w:r w:rsidRPr="004B4778">
        <w:rPr>
          <w:position w:val="-4"/>
        </w:rPr>
        <w:t>a</w:t>
      </w:r>
      <w:r>
        <w:t xml:space="preserve">, </w:t>
      </w:r>
      <w:r w:rsidR="00061620">
        <w:rPr>
          <w:b/>
        </w:rPr>
        <w:t>Fig.</w:t>
      </w:r>
      <w:r w:rsidRPr="004B4778">
        <w:rPr>
          <w:b/>
        </w:rPr>
        <w:t xml:space="preserve"> 2</w:t>
      </w:r>
      <w:r w:rsidR="00061620">
        <w:t xml:space="preserve"> of main text,</w:t>
      </w:r>
      <w:r>
        <w:t xml:space="preserve"> has the effect of distributing anthropogenic CO</w:t>
      </w:r>
      <w:r w:rsidRPr="00D56FC4">
        <w:rPr>
          <w:position w:val="-4"/>
        </w:rPr>
        <w:t>2</w:t>
      </w:r>
      <w:r>
        <w:t xml:space="preserve"> increasingly into the atmosphere versus the ocean. </w:t>
      </w:r>
    </w:p>
    <w:p w14:paraId="70E5529D" w14:textId="77777777" w:rsidR="00EB04A2" w:rsidRDefault="00EB04A2" w:rsidP="00EB04A2">
      <w:pPr>
        <w:pStyle w:val="text"/>
      </w:pPr>
      <w:r>
        <w:t xml:space="preserve">The equilibrium ratio of the stocks in the atmosphere and the ML, of interest in the interpretation of the results obtained here, is obtained from </w:t>
      </w:r>
      <w:r w:rsidRPr="000C21E5">
        <w:rPr>
          <w:b/>
        </w:rPr>
        <w:t>Eqs S2.1 and S2.4</w:t>
      </w:r>
      <w:r>
        <w:t xml:space="preserve"> as</w:t>
      </w:r>
    </w:p>
    <w:p w14:paraId="3B896904" w14:textId="1557A0FF" w:rsidR="00AD6FBD" w:rsidRDefault="007117B6" w:rsidP="00EB04A2">
      <w:pPr>
        <w:pStyle w:val="eqn"/>
      </w:pPr>
      <w:r w:rsidRPr="007117B6">
        <w:rPr>
          <w:position w:val="-36"/>
        </w:rPr>
        <w:object w:dxaOrig="3140" w:dyaOrig="760" w14:anchorId="5DC803E4">
          <v:shape id="_x0000_i1039" type="#_x0000_t75" style="width:157.35pt;height:38pt" o:ole="">
            <v:imagedata r:id="rId37" o:title=""/>
          </v:shape>
          <o:OLEObject Type="Embed" ProgID="Equation.DSMT4" ShapeID="_x0000_i1039" DrawAspect="Content" ObjectID="_1571255749" r:id="rId38"/>
        </w:object>
      </w:r>
      <w:r w:rsidR="00EB04A2">
        <w:tab/>
        <w:t>(S3.1)</w:t>
      </w:r>
    </w:p>
    <w:p w14:paraId="5A5088D4" w14:textId="0600D286" w:rsidR="007501F4" w:rsidRDefault="007501F4" w:rsidP="007501F4">
      <w:pPr>
        <w:pStyle w:val="fig"/>
      </w:pPr>
      <w:r>
        <w:rPr>
          <w:noProof/>
        </w:rPr>
        <w:lastRenderedPageBreak/>
        <w:drawing>
          <wp:inline distT="0" distB="0" distL="0" distR="0" wp14:anchorId="597E38A9" wp14:editId="3DB0736F">
            <wp:extent cx="2981960" cy="1396315"/>
            <wp:effectExtent l="0" t="0" r="0" b="1270"/>
            <wp:docPr id="1448" name="Picture 1448" descr="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descr="f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81960" cy="1396315"/>
                    </a:xfrm>
                    <a:prstGeom prst="rect">
                      <a:avLst/>
                    </a:prstGeom>
                    <a:noFill/>
                    <a:ln>
                      <a:noFill/>
                    </a:ln>
                  </pic:spPr>
                </pic:pic>
              </a:graphicData>
            </a:graphic>
          </wp:inline>
        </w:drawing>
      </w:r>
    </w:p>
    <w:p w14:paraId="5E9E1A42" w14:textId="77777777" w:rsidR="007501F4" w:rsidRPr="000542B3" w:rsidRDefault="007501F4" w:rsidP="007501F4">
      <w:pPr>
        <w:pStyle w:val="FigFileName"/>
      </w:pPr>
      <w:r w:rsidRPr="000542B3">
        <w:t>fS3.1TCO2 vs pCO2 0909.pxpG0_18.eps</w:t>
      </w:r>
    </w:p>
    <w:p w14:paraId="1739064E" w14:textId="36A389A2" w:rsidR="00EB04A2" w:rsidRDefault="00EB04A2" w:rsidP="00EB04A2">
      <w:pPr>
        <w:pStyle w:val="ACPtext"/>
      </w:pPr>
      <w:r w:rsidRPr="00E065FD">
        <w:rPr>
          <w:b/>
        </w:rPr>
        <w:t>Figure S</w:t>
      </w:r>
      <w:r>
        <w:rPr>
          <w:b/>
        </w:rPr>
        <w:t>3.1</w:t>
      </w:r>
      <w:r>
        <w:t xml:space="preserve">. Dependence of the equilibrium aqueous concentration [DIC], left axis, and mixed-layer stock </w:t>
      </w:r>
      <w:r w:rsidRPr="0015387D">
        <w:rPr>
          <w:i/>
        </w:rPr>
        <w:t>S</w:t>
      </w:r>
      <w:r w:rsidRPr="00FE7AB3">
        <w:rPr>
          <w:position w:val="-4"/>
        </w:rPr>
        <w:t>m</w:t>
      </w:r>
      <w:r>
        <w:t xml:space="preserve">, right axis, of dissolved inorganic carbon, </w:t>
      </w:r>
      <w:r w:rsidRPr="008F7563">
        <w:rPr>
          <w:i/>
        </w:rPr>
        <w:t>i.e.</w:t>
      </w:r>
      <w:r>
        <w:t>, total CO</w:t>
      </w:r>
      <w:r w:rsidRPr="00542FC3">
        <w:rPr>
          <w:position w:val="-4"/>
        </w:rPr>
        <w:t>2</w:t>
      </w:r>
      <w:r>
        <w:t xml:space="preserve">, on the atmospheric dry-air mixing ratio </w:t>
      </w:r>
      <w:r>
        <w:rPr>
          <w:i/>
        </w:rPr>
        <w:t>x</w:t>
      </w:r>
      <w:r w:rsidRPr="007117B6">
        <w:rPr>
          <w:position w:val="-4"/>
          <w:sz w:val="16"/>
        </w:rPr>
        <w:t>CO2</w:t>
      </w:r>
      <w:r>
        <w:t xml:space="preserve"> or stock </w:t>
      </w:r>
      <w:r w:rsidRPr="0015387D">
        <w:rPr>
          <w:i/>
        </w:rPr>
        <w:t>S</w:t>
      </w:r>
      <w:r w:rsidRPr="004D520F">
        <w:rPr>
          <w:position w:val="-4"/>
        </w:rPr>
        <w:t>a</w:t>
      </w:r>
      <w:r>
        <w:t xml:space="preserve"> of CO</w:t>
      </w:r>
      <w:r w:rsidRPr="00542FC3">
        <w:rPr>
          <w:position w:val="-4"/>
        </w:rPr>
        <w:t>2</w:t>
      </w:r>
      <w:r>
        <w:t xml:space="preserve">. </w:t>
      </w:r>
      <w:r w:rsidRPr="0015387D">
        <w:rPr>
          <w:i/>
        </w:rPr>
        <w:t>S</w:t>
      </w:r>
      <w:r w:rsidRPr="00FE7AB3">
        <w:rPr>
          <w:position w:val="-4"/>
        </w:rPr>
        <w:t>m</w:t>
      </w:r>
      <w:r>
        <w:t xml:space="preserve"> is calculated for mixed layer depth </w:t>
      </w:r>
      <w:r w:rsidRPr="00FE7AB3">
        <w:rPr>
          <w:i/>
        </w:rPr>
        <w:t>z</w:t>
      </w:r>
      <w:r w:rsidRPr="00FE7AB3">
        <w:rPr>
          <w:position w:val="-4"/>
        </w:rPr>
        <w:t>m</w:t>
      </w:r>
      <w:r>
        <w:t xml:space="preserve"> = 100 m, ocean temperature, 18 ˚C and total alkalinity, 2349 </w:t>
      </w:r>
      <w:r w:rsidRPr="006668E1">
        <w:t>µ</w:t>
      </w:r>
      <w:r>
        <w:t>mol</w:t>
      </w:r>
      <w:r w:rsidR="007117B6" w:rsidRPr="007117B6">
        <w:rPr>
          <w:position w:val="-10"/>
        </w:rPr>
        <w:object w:dxaOrig="460" w:dyaOrig="360" w14:anchorId="3AE3CAA4">
          <v:shape id="_x0000_i1040" type="#_x0000_t75" style="width:23.35pt;height:18pt" o:ole="">
            <v:imagedata r:id="rId40" o:title=""/>
          </v:shape>
          <o:OLEObject Type="Embed" ProgID="Equation.DSMT4" ShapeID="_x0000_i1040" DrawAspect="Content" ObjectID="_1571255750" r:id="rId41"/>
        </w:object>
      </w:r>
      <w:r>
        <w:t xml:space="preserve">. </w:t>
      </w:r>
      <w:r w:rsidRPr="00870405">
        <w:rPr>
          <w:color w:val="000000"/>
        </w:rPr>
        <w:t>SI data table</w:t>
      </w:r>
      <w:r>
        <w:rPr>
          <w:color w:val="000000"/>
        </w:rPr>
        <w:t>, sheet</w:t>
      </w:r>
      <w:r w:rsidRPr="00870405">
        <w:rPr>
          <w:color w:val="000000"/>
        </w:rPr>
        <w:t xml:space="preserve"> </w:t>
      </w:r>
      <w:r>
        <w:rPr>
          <w:color w:val="000000"/>
        </w:rPr>
        <w:t>2.</w:t>
      </w:r>
      <w:r w:rsidRPr="00EB04A2">
        <w:t xml:space="preserve"> </w:t>
      </w:r>
    </w:p>
    <w:p w14:paraId="46C80CC2" w14:textId="77777777" w:rsidR="00EB04A2" w:rsidRDefault="00EB04A2" w:rsidP="00EB04A2">
      <w:pPr>
        <w:pStyle w:val="text"/>
      </w:pPr>
      <w:r>
        <w:t xml:space="preserve">More pertinent to changes over the Anthropocene is an equilibrium constant defined for the anthropogenic enhancement of these quantities as </w:t>
      </w:r>
    </w:p>
    <w:p w14:paraId="039E41A7" w14:textId="408461DA" w:rsidR="00EB04A2" w:rsidRDefault="007117B6" w:rsidP="00EB04A2">
      <w:pPr>
        <w:pStyle w:val="eqn"/>
      </w:pPr>
      <w:r w:rsidRPr="007117B6">
        <w:rPr>
          <w:position w:val="-36"/>
        </w:rPr>
        <w:object w:dxaOrig="2860" w:dyaOrig="760" w14:anchorId="31AAADF4">
          <v:shape id="_x0000_i1041" type="#_x0000_t75" style="width:143.35pt;height:38pt" o:ole="">
            <v:imagedata r:id="rId42" o:title=""/>
          </v:shape>
          <o:OLEObject Type="Embed" ProgID="Equation.DSMT4" ShapeID="_x0000_i1041" DrawAspect="Content" ObjectID="_1571255751" r:id="rId43"/>
        </w:object>
      </w:r>
      <w:r w:rsidR="00EB04A2">
        <w:t>,</w:t>
      </w:r>
      <w:r w:rsidR="00EB04A2">
        <w:tab/>
        <w:t>(S3.2)</w:t>
      </w:r>
    </w:p>
    <w:p w14:paraId="6949489B" w14:textId="5E0B2560" w:rsidR="00EB04A2" w:rsidRPr="00CD1D30" w:rsidRDefault="00EB04A2" w:rsidP="00EB04A2">
      <w:pPr>
        <w:pStyle w:val="text"/>
      </w:pPr>
      <w:r>
        <w:t xml:space="preserve">where </w:t>
      </w:r>
      <w:r w:rsidR="007117B6" w:rsidRPr="007117B6">
        <w:rPr>
          <w:position w:val="-10"/>
        </w:rPr>
        <w:object w:dxaOrig="1420" w:dyaOrig="360" w14:anchorId="42D3E47D">
          <v:shape id="_x0000_i1042" type="#_x0000_t75" style="width:71.35pt;height:18pt" o:ole="">
            <v:imagedata r:id="rId44" o:title=""/>
          </v:shape>
          <o:OLEObject Type="Embed" ProgID="Equation.DSMT4" ShapeID="_x0000_i1042" DrawAspect="Content" ObjectID="_1571255752" r:id="rId45"/>
        </w:object>
      </w:r>
      <w:r>
        <w:t xml:space="preserve"> denotes the anthropogenic enhancement of the molal concentration of DIC, as a function of CO</w:t>
      </w:r>
      <w:r w:rsidRPr="00542FC3">
        <w:rPr>
          <w:position w:val="-4"/>
        </w:rPr>
        <w:t>2</w:t>
      </w:r>
      <w:r>
        <w:t xml:space="preserve"> mixing ratio, and similarly for</w:t>
      </w:r>
      <w:r w:rsidR="009A7A75" w:rsidRPr="009A7A75">
        <w:rPr>
          <w:position w:val="-10"/>
        </w:rPr>
        <w:object w:dxaOrig="480" w:dyaOrig="360" w14:anchorId="2156B595">
          <v:shape id="_x0000_i1043" type="#_x0000_t75" style="width:24pt;height:18pt" o:ole="">
            <v:imagedata r:id="rId46" o:title=""/>
          </v:shape>
          <o:OLEObject Type="Embed" ProgID="Equation.DSMT4" ShapeID="_x0000_i1043" DrawAspect="Content" ObjectID="_1571255753" r:id="rId47"/>
        </w:object>
      </w:r>
      <w:r>
        <w:t xml:space="preserve">, shown in </w:t>
      </w:r>
      <w:r w:rsidR="00061620">
        <w:rPr>
          <w:b/>
        </w:rPr>
        <w:t>Fig.</w:t>
      </w:r>
      <w:r w:rsidRPr="0049014C">
        <w:rPr>
          <w:b/>
        </w:rPr>
        <w:t xml:space="preserve"> S</w:t>
      </w:r>
      <w:r>
        <w:rPr>
          <w:b/>
        </w:rPr>
        <w:t>3</w:t>
      </w:r>
      <w:r w:rsidRPr="0049014C">
        <w:rPr>
          <w:b/>
        </w:rPr>
        <w:t>.2</w:t>
      </w:r>
      <w:r w:rsidRPr="00F22C5D">
        <w:rPr>
          <w:b/>
          <w:i/>
        </w:rPr>
        <w:t>b</w:t>
      </w:r>
      <w:r>
        <w:t xml:space="preserve">. </w:t>
      </w:r>
      <w:r w:rsidR="009A7A75" w:rsidRPr="009A7A75">
        <w:rPr>
          <w:position w:val="-10"/>
        </w:rPr>
        <w:object w:dxaOrig="440" w:dyaOrig="360" w14:anchorId="57D9B7BE">
          <v:shape id="_x0000_i1044" type="#_x0000_t75" style="width:22pt;height:18pt" o:ole="">
            <v:imagedata r:id="rId48" o:title=""/>
          </v:shape>
          <o:OLEObject Type="Embed" ProgID="Equation.DSMT4" ShapeID="_x0000_i1044" DrawAspect="Content" ObjectID="_1571255754" r:id="rId49"/>
        </w:object>
      </w:r>
      <w:r>
        <w:t>is</w:t>
      </w:r>
      <w:r>
        <w:rPr>
          <w:b/>
        </w:rPr>
        <w:t xml:space="preserve"> </w:t>
      </w:r>
      <w:r>
        <w:t xml:space="preserve">pertinent to the dependence of the turnover time of stocks in the combined atmosphere–ML compartment </w:t>
      </w:r>
      <w:r w:rsidR="009A7A75" w:rsidRPr="009A7A75">
        <w:rPr>
          <w:position w:val="-10"/>
        </w:rPr>
        <w:object w:dxaOrig="440" w:dyaOrig="360" w14:anchorId="419A2999">
          <v:shape id="_x0000_i1045" type="#_x0000_t75" style="width:22pt;height:18pt" o:ole="">
            <v:imagedata r:id="rId50" o:title=""/>
          </v:shape>
          <o:OLEObject Type="Embed" ProgID="Equation.DSMT4" ShapeID="_x0000_i1045" DrawAspect="Content" ObjectID="_1571255755" r:id="rId51"/>
        </w:object>
      </w:r>
      <w:r>
        <w:t xml:space="preserve"> on the stocks and on depth of the ML </w:t>
      </w:r>
      <w:r w:rsidRPr="00671478">
        <w:rPr>
          <w:b/>
        </w:rPr>
        <w:t xml:space="preserve">SI </w:t>
      </w:r>
      <w:r>
        <w:rPr>
          <w:b/>
        </w:rPr>
        <w:t>T</w:t>
      </w:r>
      <w:r w:rsidRPr="00671478">
        <w:rPr>
          <w:b/>
        </w:rPr>
        <w:t>ext</w:t>
      </w:r>
      <w:r w:rsidRPr="00671478">
        <w:rPr>
          <w:b/>
          <w:spacing w:val="-8"/>
        </w:rPr>
        <w:t xml:space="preserve"> </w:t>
      </w:r>
      <w:r>
        <w:rPr>
          <w:b/>
          <w:spacing w:val="-8"/>
        </w:rPr>
        <w:t>§S</w:t>
      </w:r>
      <w:r>
        <w:rPr>
          <w:b/>
        </w:rPr>
        <w:t>7</w:t>
      </w:r>
      <w:r>
        <w:t xml:space="preserve">, the small magnitude of this ratio relative to unity leading to the insensitivity of the turnover time to choice of these parameters. Also shown, </w:t>
      </w:r>
      <w:r w:rsidR="00061620">
        <w:rPr>
          <w:b/>
        </w:rPr>
        <w:t>Fig.</w:t>
      </w:r>
      <w:r w:rsidRPr="004B4778">
        <w:rPr>
          <w:b/>
        </w:rPr>
        <w:t xml:space="preserve"> 3.2</w:t>
      </w:r>
      <w:r w:rsidRPr="00F22C5D">
        <w:rPr>
          <w:b/>
          <w:i/>
        </w:rPr>
        <w:t>c</w:t>
      </w:r>
      <w:r>
        <w:t xml:space="preserve"> is the equilibrium fraction of the stocks in the AC and the ML present in the AC, </w:t>
      </w:r>
      <w:r w:rsidRPr="00E31FAD">
        <w:rPr>
          <w:rFonts w:ascii="Symbol" w:hAnsi="Symbol"/>
        </w:rPr>
        <w:t></w:t>
      </w:r>
      <w:r w:rsidRPr="00E31FAD">
        <w:rPr>
          <w:position w:val="-4"/>
        </w:rPr>
        <w:t>a</w:t>
      </w:r>
      <w:r>
        <w:t xml:space="preserve"> = </w:t>
      </w:r>
      <w:r w:rsidRPr="00880CE1">
        <w:rPr>
          <w:i/>
        </w:rPr>
        <w:t>S</w:t>
      </w:r>
      <w:r w:rsidRPr="00880CE1">
        <w:rPr>
          <w:position w:val="-4"/>
        </w:rPr>
        <w:t>a</w:t>
      </w:r>
      <w:r>
        <w:t>/(</w:t>
      </w:r>
      <w:r w:rsidRPr="00880CE1">
        <w:rPr>
          <w:i/>
        </w:rPr>
        <w:t>S</w:t>
      </w:r>
      <w:r w:rsidRPr="00880CE1">
        <w:rPr>
          <w:position w:val="-4"/>
        </w:rPr>
        <w:t>a</w:t>
      </w:r>
      <w:r>
        <w:t xml:space="preserve"> + </w:t>
      </w:r>
      <w:r w:rsidRPr="00880CE1">
        <w:rPr>
          <w:i/>
        </w:rPr>
        <w:t>S</w:t>
      </w:r>
      <w:r>
        <w:rPr>
          <w:position w:val="-4"/>
        </w:rPr>
        <w:t>m</w:t>
      </w:r>
      <w:r>
        <w:t>), a quantity used in solution of the differential equations describing the temporal evolution of the stocks in the several compartments (</w:t>
      </w:r>
      <w:r w:rsidRPr="00944300">
        <w:rPr>
          <w:b/>
        </w:rPr>
        <w:t xml:space="preserve">Eq </w:t>
      </w:r>
      <w:r>
        <w:rPr>
          <w:b/>
        </w:rPr>
        <w:t>11</w:t>
      </w:r>
      <w:r>
        <w:t>), and the equilibrium ratio of the anthropogenic stocks in the two phases</w:t>
      </w:r>
      <w:r w:rsidR="009A7A75" w:rsidRPr="009A7A75">
        <w:rPr>
          <w:position w:val="-10"/>
        </w:rPr>
        <w:object w:dxaOrig="1440" w:dyaOrig="360" w14:anchorId="69621B84">
          <v:shape id="_x0000_i1046" type="#_x0000_t75" style="width:1in;height:18pt" o:ole="">
            <v:imagedata r:id="rId52" o:title=""/>
          </v:shape>
          <o:OLEObject Type="Embed" ProgID="Equation.DSMT4" ShapeID="_x0000_i1046" DrawAspect="Content" ObjectID="_1571255756" r:id="rId53"/>
        </w:object>
      </w:r>
      <w:r>
        <w:t xml:space="preserve">. </w:t>
      </w:r>
    </w:p>
    <w:p w14:paraId="3B735134" w14:textId="748A06CF" w:rsidR="00EB04A2" w:rsidRDefault="00EB04A2" w:rsidP="00EB04A2">
      <w:pPr>
        <w:pStyle w:val="fig"/>
      </w:pPr>
      <w:r>
        <w:lastRenderedPageBreak/>
        <w:t xml:space="preserve"> </w:t>
      </w:r>
      <w:r>
        <w:rPr>
          <w:noProof/>
        </w:rPr>
        <w:drawing>
          <wp:inline distT="0" distB="0" distL="0" distR="0" wp14:anchorId="68385681" wp14:editId="49BFF651">
            <wp:extent cx="2622127" cy="2788611"/>
            <wp:effectExtent l="0" t="0" r="0" b="5715"/>
            <wp:docPr id="1333" name="Picture 1333" descr="f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descr="fS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22127" cy="2788611"/>
                    </a:xfrm>
                    <a:prstGeom prst="rect">
                      <a:avLst/>
                    </a:prstGeom>
                    <a:noFill/>
                    <a:ln>
                      <a:noFill/>
                    </a:ln>
                  </pic:spPr>
                </pic:pic>
              </a:graphicData>
            </a:graphic>
          </wp:inline>
        </w:drawing>
      </w:r>
    </w:p>
    <w:p w14:paraId="51FF0B23" w14:textId="77777777" w:rsidR="00EB04A2" w:rsidRPr="000542B3" w:rsidRDefault="00EB04A2" w:rsidP="00EB04A2">
      <w:pPr>
        <w:pStyle w:val="FigFileName"/>
      </w:pPr>
      <w:r w:rsidRPr="000542B3">
        <w:t>fS3.2 TCO2 vs pCO2 0909.pxpLayo.eps</w:t>
      </w:r>
    </w:p>
    <w:p w14:paraId="6B3D05A4" w14:textId="0C560504" w:rsidR="00EB04A2" w:rsidRDefault="00EB04A2" w:rsidP="00EB04A2">
      <w:pPr>
        <w:pStyle w:val="ACPtext"/>
      </w:pPr>
      <w:r w:rsidRPr="00835C4A">
        <w:rPr>
          <w:b/>
        </w:rPr>
        <w:t>Figure S3.</w:t>
      </w:r>
      <w:r>
        <w:rPr>
          <w:b/>
        </w:rPr>
        <w:t>2</w:t>
      </w:r>
      <w:r>
        <w:t xml:space="preserve">. </w:t>
      </w:r>
      <w:r w:rsidRPr="0029755E">
        <w:rPr>
          <w:i/>
        </w:rPr>
        <w:t>a</w:t>
      </w:r>
      <w:r>
        <w:t xml:space="preserve">, Dependence of the equilibrium aqueous concentration [DIC], left axis, and mixed-layer stock </w:t>
      </w:r>
      <w:r w:rsidRPr="0015387D">
        <w:rPr>
          <w:i/>
        </w:rPr>
        <w:t>S</w:t>
      </w:r>
      <w:r w:rsidRPr="00FE7AB3">
        <w:rPr>
          <w:position w:val="-4"/>
        </w:rPr>
        <w:t>m</w:t>
      </w:r>
      <w:r>
        <w:t xml:space="preserve">, right axis, of dissolved inorganic carbon, </w:t>
      </w:r>
      <w:r w:rsidRPr="008F7563">
        <w:rPr>
          <w:i/>
        </w:rPr>
        <w:t>i.e.</w:t>
      </w:r>
      <w:r>
        <w:t>, total CO</w:t>
      </w:r>
      <w:r w:rsidRPr="00542FC3">
        <w:rPr>
          <w:position w:val="-4"/>
        </w:rPr>
        <w:t>2</w:t>
      </w:r>
      <w:r>
        <w:t xml:space="preserve">, on the atmospheric dry-air mixing ratio </w:t>
      </w:r>
      <w:r>
        <w:rPr>
          <w:i/>
        </w:rPr>
        <w:t>x</w:t>
      </w:r>
      <w:r w:rsidRPr="009A7A75">
        <w:rPr>
          <w:position w:val="-4"/>
          <w:sz w:val="16"/>
        </w:rPr>
        <w:t>CO2</w:t>
      </w:r>
      <w:r>
        <w:t xml:space="preserve"> or stock </w:t>
      </w:r>
      <w:r w:rsidRPr="0015387D">
        <w:rPr>
          <w:i/>
        </w:rPr>
        <w:t>S</w:t>
      </w:r>
      <w:r w:rsidRPr="004D520F">
        <w:rPr>
          <w:position w:val="-4"/>
        </w:rPr>
        <w:t>a</w:t>
      </w:r>
      <w:r>
        <w:t xml:space="preserve"> of CO</w:t>
      </w:r>
      <w:r w:rsidRPr="00542FC3">
        <w:rPr>
          <w:position w:val="-4"/>
        </w:rPr>
        <w:t>2</w:t>
      </w:r>
      <w:r>
        <w:t xml:space="preserve">, as in </w:t>
      </w:r>
      <w:r w:rsidR="00061620">
        <w:rPr>
          <w:b/>
        </w:rPr>
        <w:t>Fig.</w:t>
      </w:r>
      <w:r w:rsidRPr="00F22C5D">
        <w:rPr>
          <w:b/>
        </w:rPr>
        <w:t xml:space="preserve"> S3.1</w:t>
      </w:r>
      <w:r>
        <w:t xml:space="preserve">, but limited to range of </w:t>
      </w:r>
      <w:r w:rsidRPr="00495209">
        <w:rPr>
          <w:i/>
        </w:rPr>
        <w:t>x</w:t>
      </w:r>
      <w:r w:rsidRPr="009A7A75">
        <w:rPr>
          <w:position w:val="-4"/>
          <w:sz w:val="16"/>
        </w:rPr>
        <w:t>CO2</w:t>
      </w:r>
      <w:r>
        <w:t xml:space="preserve"> pertinent to the Anthropocene. Open circles denote 20-year intervals of atmospheric </w:t>
      </w:r>
      <w:r>
        <w:rPr>
          <w:i/>
        </w:rPr>
        <w:t>x</w:t>
      </w:r>
      <w:r w:rsidRPr="009A7A75">
        <w:rPr>
          <w:position w:val="-4"/>
          <w:sz w:val="16"/>
        </w:rPr>
        <w:t>CO2</w:t>
      </w:r>
      <w:r>
        <w:t xml:space="preserve">, 1750-2010; points are also shown corresponding to preindustrial PI, 1750; the beginning of contemporaneous measurements, 1959; the present, 2016; and twice preindustrial, 2 </w:t>
      </w:r>
      <w:r>
        <w:sym w:font="Symbol" w:char="F0B4"/>
      </w:r>
      <w:r>
        <w:t xml:space="preserve"> PI. </w:t>
      </w:r>
      <w:r>
        <w:rPr>
          <w:i/>
        </w:rPr>
        <w:t>b</w:t>
      </w:r>
      <w:r>
        <w:t xml:space="preserve">, Equilibrium ratio of anthropogenic stocks (i.e., stocks in excess of preindustrial) in ML to AC, left axis, or of anthropogenic increase of concentration in ML to anthropogenic mixing ratio in AC, right axis. </w:t>
      </w:r>
      <w:r w:rsidRPr="00F22C5D">
        <w:rPr>
          <w:i/>
        </w:rPr>
        <w:t>c</w:t>
      </w:r>
      <w:r>
        <w:t xml:space="preserve">, </w:t>
      </w:r>
      <w:r w:rsidRPr="00AD6FBD">
        <w:rPr>
          <w:spacing w:val="-6"/>
        </w:rPr>
        <w:t>Equilibrium fraction</w:t>
      </w:r>
      <w:r>
        <w:t xml:space="preserve"> of stock in AC, </w:t>
      </w:r>
      <w:r w:rsidRPr="003B5570">
        <w:rPr>
          <w:rFonts w:ascii="Symbol" w:hAnsi="Symbol"/>
        </w:rPr>
        <w:t></w:t>
      </w:r>
      <w:r w:rsidRPr="00880CE1">
        <w:rPr>
          <w:position w:val="-4"/>
        </w:rPr>
        <w:t>a</w:t>
      </w:r>
      <w:r>
        <w:t xml:space="preserve"> = </w:t>
      </w:r>
      <w:r w:rsidRPr="00880CE1">
        <w:rPr>
          <w:i/>
        </w:rPr>
        <w:t>S</w:t>
      </w:r>
      <w:r w:rsidRPr="00880CE1">
        <w:rPr>
          <w:position w:val="-4"/>
        </w:rPr>
        <w:t>a</w:t>
      </w:r>
      <w:r>
        <w:t>/(</w:t>
      </w:r>
      <w:r w:rsidRPr="00880CE1">
        <w:rPr>
          <w:i/>
        </w:rPr>
        <w:t>S</w:t>
      </w:r>
      <w:r w:rsidRPr="00880CE1">
        <w:rPr>
          <w:position w:val="-4"/>
        </w:rPr>
        <w:t>a</w:t>
      </w:r>
      <w:r>
        <w:t xml:space="preserve"> + </w:t>
      </w:r>
      <w:r w:rsidRPr="00880CE1">
        <w:rPr>
          <w:i/>
        </w:rPr>
        <w:t>S</w:t>
      </w:r>
      <w:r>
        <w:rPr>
          <w:position w:val="-4"/>
        </w:rPr>
        <w:t>m</w:t>
      </w:r>
      <w:r>
        <w:t xml:space="preserve">). </w:t>
      </w:r>
      <w:r w:rsidRPr="00870405">
        <w:rPr>
          <w:color w:val="000000"/>
        </w:rPr>
        <w:t>SI data table</w:t>
      </w:r>
      <w:r>
        <w:rPr>
          <w:color w:val="000000"/>
        </w:rPr>
        <w:t>, sheet</w:t>
      </w:r>
      <w:r w:rsidRPr="00870405">
        <w:rPr>
          <w:color w:val="000000"/>
        </w:rPr>
        <w:t xml:space="preserve"> </w:t>
      </w:r>
      <w:r>
        <w:rPr>
          <w:color w:val="000000"/>
        </w:rPr>
        <w:t>2.</w:t>
      </w:r>
      <w:r w:rsidRPr="00EB04A2">
        <w:t xml:space="preserve"> </w:t>
      </w:r>
    </w:p>
    <w:p w14:paraId="00812153" w14:textId="77777777" w:rsidR="00EB04A2" w:rsidRPr="006668E1" w:rsidRDefault="00EB04A2" w:rsidP="00EB04A2">
      <w:pPr>
        <w:pStyle w:val="hdr"/>
        <w:rPr>
          <w:rFonts w:ascii="Times" w:hAnsi="Times"/>
        </w:rPr>
      </w:pPr>
      <w:r w:rsidRPr="006668E1">
        <w:rPr>
          <w:rFonts w:ascii="Times" w:hAnsi="Times"/>
        </w:rPr>
        <w:t xml:space="preserve">S4. Anthropogenic emissions </w:t>
      </w:r>
      <w:r>
        <w:rPr>
          <w:rFonts w:ascii="Times" w:hAnsi="Times"/>
        </w:rPr>
        <w:t xml:space="preserve">of </w:t>
      </w:r>
      <w:r w:rsidRPr="006668E1">
        <w:rPr>
          <w:rFonts w:ascii="Times" w:hAnsi="Times"/>
        </w:rPr>
        <w:t>CO</w:t>
      </w:r>
      <w:r w:rsidRPr="006668E1">
        <w:rPr>
          <w:rFonts w:ascii="Times" w:hAnsi="Times"/>
          <w:position w:val="-4"/>
        </w:rPr>
        <w:t>2</w:t>
      </w:r>
    </w:p>
    <w:p w14:paraId="7572928E" w14:textId="072751BD" w:rsidR="00AD6FBD" w:rsidRDefault="00EB04A2" w:rsidP="00EB04A2">
      <w:pPr>
        <w:pStyle w:val="text"/>
        <w:rPr>
          <w:color w:val="FF0000"/>
        </w:rPr>
      </w:pPr>
      <w:r>
        <w:t xml:space="preserve">Emissions employed in this study, </w:t>
      </w:r>
      <w:r w:rsidR="00061620">
        <w:rPr>
          <w:b/>
        </w:rPr>
        <w:t>Fig.</w:t>
      </w:r>
      <w:r w:rsidRPr="00EB2BF7">
        <w:rPr>
          <w:b/>
        </w:rPr>
        <w:t xml:space="preserve"> S4.1</w:t>
      </w:r>
      <w:r>
        <w:t xml:space="preserve">, are taken mainly from the tabulation of Le </w:t>
      </w:r>
      <w:r w:rsidRPr="005F2199">
        <w:t>Quéré</w:t>
      </w:r>
      <w:r>
        <w:t xml:space="preserve"> </w:t>
      </w:r>
      <w:r w:rsidR="00061620">
        <w:t>et al</w:t>
      </w:r>
      <w:r w:rsidR="00061620">
        <w:rPr>
          <w:rFonts w:ascii="Times" w:eastAsia="宋体" w:hAnsi="Times"/>
          <w:lang w:val="en-US" w:eastAsia="en-US"/>
        </w:rPr>
        <w:t xml:space="preserve"> </w:t>
      </w:r>
      <w:r>
        <w:t>. (2018</w:t>
      </w:r>
      <w:r w:rsidRPr="006E0769">
        <w:rPr>
          <w:i/>
        </w:rPr>
        <w:t>a</w:t>
      </w:r>
      <w:r>
        <w:t>). Estimates of LUC emission are not available for years 1750–1850. Although emission prior to 1850 was small relative to cumulative emission over the Anthropocene, it is not negligible with respect to the present examination of anthropogenic perturbation to the CO</w:t>
      </w:r>
      <w:r w:rsidRPr="00542FC3">
        <w:rPr>
          <w:position w:val="-4"/>
        </w:rPr>
        <w:t>2</w:t>
      </w:r>
      <w:r>
        <w:t xml:space="preserve"> budget, the estimate for </w:t>
      </w:r>
      <w:r w:rsidRPr="006C1902">
        <w:rPr>
          <w:i/>
        </w:rPr>
        <w:t>Q</w:t>
      </w:r>
      <w:r w:rsidRPr="006C1902">
        <w:rPr>
          <w:position w:val="-4"/>
        </w:rPr>
        <w:t>lu</w:t>
      </w:r>
      <w:r>
        <w:t xml:space="preserve"> for year 1850 being 0.67 Pg yr</w:t>
      </w:r>
      <w:r w:rsidRPr="00AC12BC">
        <w:rPr>
          <w:position w:val="6"/>
        </w:rPr>
        <w:t>-1</w:t>
      </w:r>
      <w:r>
        <w:t xml:space="preserve">. In order not to bias the present analysis by setting </w:t>
      </w:r>
      <w:r w:rsidRPr="006C1902">
        <w:rPr>
          <w:i/>
        </w:rPr>
        <w:t>Q</w:t>
      </w:r>
      <w:r w:rsidRPr="006C1902">
        <w:rPr>
          <w:position w:val="-4"/>
        </w:rPr>
        <w:t>lu</w:t>
      </w:r>
      <w:r>
        <w:t xml:space="preserve"> prior to 1850 equal to zero, this emission was estimated as a linear ramp from 0 in 1750 to 0.67 Pg yr</w:t>
      </w:r>
      <w:r w:rsidRPr="00AC12BC">
        <w:rPr>
          <w:position w:val="6"/>
        </w:rPr>
        <w:t>-1</w:t>
      </w:r>
      <w:r>
        <w:t xml:space="preserve"> in 1850. LUC</w:t>
      </w:r>
      <w:r>
        <w:rPr>
          <w:color w:val="000000"/>
        </w:rPr>
        <w:t xml:space="preserve"> emission estimated this way comprises virtually all of the emissions prior to 1850; however the cumulative LUC emission (1750-1849) estimated in this way, 33 Pg, comprises only about 5% of cumulative anthropogenic emission of CO</w:t>
      </w:r>
      <w:r w:rsidRPr="00542FC3">
        <w:rPr>
          <w:color w:val="000000"/>
          <w:position w:val="-4"/>
        </w:rPr>
        <w:t>2</w:t>
      </w:r>
      <w:r>
        <w:rPr>
          <w:color w:val="000000"/>
        </w:rPr>
        <w:t xml:space="preserve"> over the period 1750 - 2016. </w:t>
      </w:r>
      <w:r>
        <w:t xml:space="preserve">Emission data are presented in </w:t>
      </w:r>
      <w:r w:rsidRPr="00870405">
        <w:rPr>
          <w:color w:val="000000"/>
        </w:rPr>
        <w:t>SI data table</w:t>
      </w:r>
      <w:r>
        <w:rPr>
          <w:color w:val="000000"/>
        </w:rPr>
        <w:t>, sheet</w:t>
      </w:r>
      <w:r w:rsidRPr="00870405">
        <w:rPr>
          <w:color w:val="000000"/>
        </w:rPr>
        <w:t xml:space="preserve"> </w:t>
      </w:r>
      <w:r>
        <w:rPr>
          <w:color w:val="000000"/>
        </w:rPr>
        <w:t>3.</w:t>
      </w:r>
    </w:p>
    <w:p w14:paraId="5086C41C" w14:textId="7660790F" w:rsidR="009A7A75" w:rsidRDefault="009A7A75" w:rsidP="009A7A75">
      <w:pPr>
        <w:pStyle w:val="fig"/>
      </w:pPr>
      <w:r>
        <w:rPr>
          <w:noProof/>
        </w:rPr>
        <w:lastRenderedPageBreak/>
        <w:drawing>
          <wp:inline distT="0" distB="0" distL="0" distR="0" wp14:anchorId="28B55B92" wp14:editId="15205F98">
            <wp:extent cx="2603415" cy="2519045"/>
            <wp:effectExtent l="0" t="0" r="0" b="0"/>
            <wp:docPr id="1536" name="Picture 1536" descr="f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 descr="fS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603415" cy="2519045"/>
                    </a:xfrm>
                    <a:prstGeom prst="rect">
                      <a:avLst/>
                    </a:prstGeom>
                    <a:noFill/>
                    <a:ln>
                      <a:noFill/>
                    </a:ln>
                  </pic:spPr>
                </pic:pic>
              </a:graphicData>
            </a:graphic>
          </wp:inline>
        </w:drawing>
      </w:r>
    </w:p>
    <w:p w14:paraId="5D1E385E" w14:textId="77777777" w:rsidR="009A7A75" w:rsidRPr="003F092B" w:rsidRDefault="009A7A75" w:rsidP="009A7A75">
      <w:pPr>
        <w:pStyle w:val="FigFileName"/>
      </w:pPr>
      <w:r>
        <w:t>fS4.1 Emissions.ep</w:t>
      </w:r>
      <w:r w:rsidRPr="003F092B">
        <w:t>s</w:t>
      </w:r>
    </w:p>
    <w:p w14:paraId="2174B848" w14:textId="602300C7" w:rsidR="00A40F6E" w:rsidRDefault="009A7A75" w:rsidP="00A40F6E">
      <w:pPr>
        <w:pStyle w:val="text"/>
        <w:rPr>
          <w:color w:val="000000"/>
        </w:rPr>
      </w:pPr>
      <w:r w:rsidRPr="003034AC">
        <w:rPr>
          <w:b/>
        </w:rPr>
        <w:t>Figure S4.1</w:t>
      </w:r>
      <w:r>
        <w:t xml:space="preserve"> Annual (</w:t>
      </w:r>
      <w:r w:rsidRPr="009A46A5">
        <w:rPr>
          <w:i/>
        </w:rPr>
        <w:t>a</w:t>
      </w:r>
      <w:r>
        <w:t>) and cumulative (</w:t>
      </w:r>
      <w:r w:rsidRPr="009A46A5">
        <w:rPr>
          <w:i/>
        </w:rPr>
        <w:t>b</w:t>
      </w:r>
      <w:r>
        <w:t>) CO</w:t>
      </w:r>
      <w:r w:rsidRPr="00542FC3">
        <w:rPr>
          <w:position w:val="-4"/>
        </w:rPr>
        <w:t>2</w:t>
      </w:r>
      <w:r>
        <w:t xml:space="preserve"> emission over the Anthropocene. Data source: Le </w:t>
      </w:r>
      <w:r w:rsidRPr="005F2199">
        <w:t>Quéré</w:t>
      </w:r>
      <w:r>
        <w:t xml:space="preserve"> </w:t>
      </w:r>
      <w:r w:rsidR="00061620">
        <w:t>et al</w:t>
      </w:r>
      <w:r w:rsidR="00061620">
        <w:rPr>
          <w:rFonts w:ascii="Times" w:eastAsia="宋体" w:hAnsi="Times"/>
          <w:lang w:val="en-US" w:eastAsia="en-US"/>
        </w:rPr>
        <w:t xml:space="preserve"> </w:t>
      </w:r>
      <w:r>
        <w:t>. (2018</w:t>
      </w:r>
      <w:r w:rsidRPr="006E0769">
        <w:rPr>
          <w:i/>
        </w:rPr>
        <w:t>a</w:t>
      </w:r>
      <w:r>
        <w:t xml:space="preserve">), based for </w:t>
      </w:r>
      <w:r w:rsidRPr="00CC3D2A">
        <w:rPr>
          <w:i/>
        </w:rPr>
        <w:t>Q</w:t>
      </w:r>
      <w:r w:rsidRPr="00CC3D2A">
        <w:rPr>
          <w:position w:val="-4"/>
        </w:rPr>
        <w:t>ff</w:t>
      </w:r>
      <w:r>
        <w:t xml:space="preserve"> on Boden </w:t>
      </w:r>
      <w:r w:rsidR="00061620">
        <w:t>et al</w:t>
      </w:r>
      <w:r w:rsidR="00061620">
        <w:rPr>
          <w:rFonts w:ascii="Times" w:eastAsia="宋体" w:hAnsi="Times"/>
          <w:lang w:val="en-US" w:eastAsia="en-US"/>
        </w:rPr>
        <w:t xml:space="preserve"> </w:t>
      </w:r>
      <w:r>
        <w:t xml:space="preserve">. (2017) and for </w:t>
      </w:r>
      <w:r w:rsidRPr="00CC3D2A">
        <w:rPr>
          <w:i/>
        </w:rPr>
        <w:t>Q</w:t>
      </w:r>
      <w:r w:rsidRPr="00CC3D2A">
        <w:rPr>
          <w:position w:val="-4"/>
        </w:rPr>
        <w:t>lu</w:t>
      </w:r>
      <w:r>
        <w:t xml:space="preserve"> on Houghton and </w:t>
      </w:r>
      <w:r w:rsidRPr="00B345F6">
        <w:t>Nassikas</w:t>
      </w:r>
      <w:r>
        <w:t xml:space="preserve"> (2017) and Hansis </w:t>
      </w:r>
      <w:r w:rsidR="00061620">
        <w:t>et al</w:t>
      </w:r>
      <w:r w:rsidR="00061620">
        <w:rPr>
          <w:rFonts w:ascii="Times" w:eastAsia="宋体" w:hAnsi="Times"/>
          <w:lang w:val="en-US" w:eastAsia="en-US"/>
        </w:rPr>
        <w:t xml:space="preserve"> </w:t>
      </w:r>
      <w:r>
        <w:t xml:space="preserve">. (2015), extended from 1750 to 1850 by a linear ramp; </w:t>
      </w:r>
      <w:r w:rsidRPr="00CC3D2A">
        <w:rPr>
          <w:i/>
        </w:rPr>
        <w:t>Q</w:t>
      </w:r>
      <w:r>
        <w:rPr>
          <w:position w:val="-4"/>
        </w:rPr>
        <w:t>tot</w:t>
      </w:r>
      <w:r>
        <w:t xml:space="preserve">= </w:t>
      </w:r>
      <w:r w:rsidRPr="00CC3D2A">
        <w:rPr>
          <w:i/>
        </w:rPr>
        <w:t>Q</w:t>
      </w:r>
      <w:r w:rsidRPr="00CC3D2A">
        <w:rPr>
          <w:position w:val="-4"/>
        </w:rPr>
        <w:t>ff</w:t>
      </w:r>
      <w:r>
        <w:t xml:space="preserve"> + </w:t>
      </w:r>
      <w:r w:rsidRPr="00CC3D2A">
        <w:rPr>
          <w:i/>
        </w:rPr>
        <w:t>Q</w:t>
      </w:r>
      <w:r>
        <w:rPr>
          <w:position w:val="-4"/>
        </w:rPr>
        <w:t>lu</w:t>
      </w:r>
      <w:r>
        <w:t xml:space="preserve">. </w:t>
      </w:r>
      <w:r w:rsidRPr="00870405">
        <w:rPr>
          <w:color w:val="000000"/>
        </w:rPr>
        <w:t>SI data table</w:t>
      </w:r>
      <w:r>
        <w:rPr>
          <w:color w:val="000000"/>
        </w:rPr>
        <w:t>, sheet</w:t>
      </w:r>
      <w:r w:rsidRPr="00870405">
        <w:rPr>
          <w:color w:val="000000"/>
        </w:rPr>
        <w:t xml:space="preserve"> </w:t>
      </w:r>
      <w:r>
        <w:rPr>
          <w:color w:val="000000"/>
        </w:rPr>
        <w:t>3.</w:t>
      </w:r>
      <w:r w:rsidR="00A40F6E" w:rsidRPr="00A40F6E">
        <w:rPr>
          <w:color w:val="000000"/>
        </w:rPr>
        <w:t xml:space="preserve"> </w:t>
      </w:r>
    </w:p>
    <w:p w14:paraId="12140292" w14:textId="6A7191DF" w:rsidR="00EB04A2" w:rsidRDefault="00EB04A2" w:rsidP="00EB04A2">
      <w:pPr>
        <w:pStyle w:val="text"/>
        <w:rPr>
          <w:color w:val="000000"/>
        </w:rPr>
      </w:pPr>
      <w:r>
        <w:rPr>
          <w:color w:val="000000"/>
        </w:rPr>
        <w:t xml:space="preserve">As shown in </w:t>
      </w:r>
      <w:r w:rsidR="00061620">
        <w:rPr>
          <w:b/>
        </w:rPr>
        <w:t>Fig.</w:t>
      </w:r>
      <w:r w:rsidRPr="003034AC">
        <w:rPr>
          <w:b/>
        </w:rPr>
        <w:t xml:space="preserve"> S4.1</w:t>
      </w:r>
      <w:r>
        <w:rPr>
          <w:color w:val="000000"/>
        </w:rPr>
        <w:t xml:space="preserve"> emissions from land-use change </w:t>
      </w:r>
      <w:r w:rsidRPr="00CC3D2A">
        <w:rPr>
          <w:i/>
        </w:rPr>
        <w:t>Q</w:t>
      </w:r>
      <w:r w:rsidRPr="00CC3D2A">
        <w:rPr>
          <w:position w:val="-4"/>
        </w:rPr>
        <w:t>lu</w:t>
      </w:r>
      <w:r>
        <w:rPr>
          <w:color w:val="000000"/>
        </w:rPr>
        <w:t xml:space="preserve"> exceeded emissions from fossil fuel production and cement production </w:t>
      </w:r>
      <w:r w:rsidRPr="00CC3D2A">
        <w:rPr>
          <w:i/>
        </w:rPr>
        <w:t>Q</w:t>
      </w:r>
      <w:r w:rsidRPr="00CC3D2A">
        <w:rPr>
          <w:position w:val="-4"/>
        </w:rPr>
        <w:t>ff</w:t>
      </w:r>
      <w:r>
        <w:rPr>
          <w:color w:val="000000"/>
        </w:rPr>
        <w:t xml:space="preserve"> until as recently as about 1950, but subsequently </w:t>
      </w:r>
      <w:r w:rsidRPr="000D0536">
        <w:rPr>
          <w:i/>
          <w:color w:val="000000"/>
        </w:rPr>
        <w:t>Q</w:t>
      </w:r>
      <w:r w:rsidRPr="000D0536">
        <w:rPr>
          <w:color w:val="000000"/>
          <w:position w:val="-4"/>
        </w:rPr>
        <w:t>ff</w:t>
      </w:r>
      <w:r>
        <w:rPr>
          <w:color w:val="000000"/>
        </w:rPr>
        <w:t xml:space="preserve"> increased rapidly and is now the dominant contribution, ~89%, to total emissions. Cumulative emissions from land-use change exceeded those from fossil fuel combustion and cement production until the mid 1980's. These cumulative emissions are shown in </w:t>
      </w:r>
      <w:r w:rsidR="00061620">
        <w:rPr>
          <w:b/>
          <w:color w:val="000000"/>
        </w:rPr>
        <w:t>Fig.</w:t>
      </w:r>
      <w:r>
        <w:rPr>
          <w:b/>
          <w:color w:val="000000"/>
        </w:rPr>
        <w:t xml:space="preserve"> 2</w:t>
      </w:r>
      <w:r>
        <w:rPr>
          <w:color w:val="000000"/>
        </w:rPr>
        <w:t xml:space="preserve"> </w:t>
      </w:r>
      <w:r w:rsidR="00061620">
        <w:rPr>
          <w:color w:val="000000"/>
        </w:rPr>
        <w:t xml:space="preserve">of main text </w:t>
      </w:r>
      <w:r>
        <w:rPr>
          <w:color w:val="000000"/>
        </w:rPr>
        <w:t xml:space="preserve">as decreases in the boxes denoting the stocks of the terrestrial biosphere and fossil fuel reserves. </w:t>
      </w:r>
    </w:p>
    <w:p w14:paraId="24B34440" w14:textId="77777777" w:rsidR="00EB04A2" w:rsidRPr="006668E1" w:rsidRDefault="00EB04A2" w:rsidP="00EB04A2">
      <w:pPr>
        <w:pStyle w:val="hdr"/>
        <w:rPr>
          <w:rFonts w:ascii="Times" w:hAnsi="Times"/>
        </w:rPr>
      </w:pPr>
      <w:r w:rsidRPr="006668E1">
        <w:rPr>
          <w:rFonts w:ascii="Times" w:hAnsi="Times"/>
        </w:rPr>
        <w:t>S.5 Annual increment in atmospheric stock</w:t>
      </w:r>
    </w:p>
    <w:p w14:paraId="45ED9AE4" w14:textId="1C48FA65" w:rsidR="00AD6FBD" w:rsidRDefault="00EB04A2" w:rsidP="00EB04A2">
      <w:pPr>
        <w:pStyle w:val="text"/>
      </w:pPr>
      <w:r>
        <w:t xml:space="preserve">The annual increment in the atmospheric stock </w:t>
      </w:r>
      <w:r w:rsidRPr="00B129F1">
        <w:rPr>
          <w:i/>
        </w:rPr>
        <w:t>S</w:t>
      </w:r>
      <w:r w:rsidRPr="00B129F1">
        <w:rPr>
          <w:position w:val="-4"/>
        </w:rPr>
        <w:t>a</w:t>
      </w:r>
      <w:r>
        <w:t xml:space="preserve">, </w:t>
      </w:r>
      <w:r w:rsidR="009A7A75" w:rsidRPr="009A7A75">
        <w:rPr>
          <w:position w:val="-10"/>
        </w:rPr>
        <w:object w:dxaOrig="360" w:dyaOrig="300" w14:anchorId="0CB63C12">
          <v:shape id="_x0000_i1047" type="#_x0000_t75" style="width:18pt;height:15.35pt" o:ole="">
            <v:imagedata r:id="rId56" o:title=""/>
          </v:shape>
          <o:OLEObject Type="Embed" ProgID="Equation.DSMT4" ShapeID="_x0000_i1047" DrawAspect="Content" ObjectID="_1571255757" r:id="rId57"/>
        </w:object>
      </w:r>
      <w:r>
        <w:t>, is central to observational determination of the anthropogenic CO</w:t>
      </w:r>
      <w:r w:rsidRPr="00542FC3">
        <w:rPr>
          <w:position w:val="-4"/>
        </w:rPr>
        <w:t>2</w:t>
      </w:r>
      <w:r>
        <w:t xml:space="preserve"> budget. This annual increment, shown in </w:t>
      </w:r>
      <w:r w:rsidR="00061620">
        <w:rPr>
          <w:b/>
        </w:rPr>
        <w:t>Fig.</w:t>
      </w:r>
      <w:r w:rsidRPr="0007036E">
        <w:rPr>
          <w:b/>
        </w:rPr>
        <w:t xml:space="preserve"> S</w:t>
      </w:r>
      <w:r>
        <w:rPr>
          <w:b/>
        </w:rPr>
        <w:t>5.1</w:t>
      </w:r>
      <w:r>
        <w:t xml:space="preserve"> for the entire period of contemporaneous measurements of CO</w:t>
      </w:r>
      <w:r w:rsidRPr="00542FC3">
        <w:rPr>
          <w:position w:val="-4"/>
        </w:rPr>
        <w:t>2</w:t>
      </w:r>
      <w:r>
        <w:t xml:space="preserve"> in air as tabulated by Le </w:t>
      </w:r>
      <w:r w:rsidRPr="000E2B50">
        <w:t>Quéré</w:t>
      </w:r>
      <w:r>
        <w:t xml:space="preserve"> </w:t>
      </w:r>
      <w:r w:rsidR="00061620">
        <w:t>et al</w:t>
      </w:r>
      <w:r w:rsidR="00061620">
        <w:rPr>
          <w:rFonts w:ascii="Times" w:eastAsia="宋体" w:hAnsi="Times"/>
          <w:lang w:val="en-US" w:eastAsia="en-US"/>
        </w:rPr>
        <w:t xml:space="preserve"> </w:t>
      </w:r>
      <w:r>
        <w:t>. (2018</w:t>
      </w:r>
      <w:r w:rsidRPr="006E0769">
        <w:rPr>
          <w:i/>
        </w:rPr>
        <w:t>a</w:t>
      </w:r>
      <w:r>
        <w:t xml:space="preserve">), is based on measurements of Keeling and colleagues initially at Mauna Loa and Antarctica (Keeling </w:t>
      </w:r>
      <w:r w:rsidR="00061620">
        <w:t>et al</w:t>
      </w:r>
      <w:r w:rsidR="00061620">
        <w:rPr>
          <w:rFonts w:ascii="Times" w:eastAsia="宋体" w:hAnsi="Times"/>
          <w:lang w:val="en-US" w:eastAsia="en-US"/>
        </w:rPr>
        <w:t xml:space="preserve"> </w:t>
      </w:r>
      <w:r>
        <w:t xml:space="preserve">., 1976; 2001 as updated), subsequently extended to a global network (Ballantyne </w:t>
      </w:r>
      <w:r w:rsidR="00061620">
        <w:t>et al</w:t>
      </w:r>
      <w:r w:rsidR="00061620">
        <w:rPr>
          <w:rFonts w:ascii="Times" w:eastAsia="宋体" w:hAnsi="Times"/>
          <w:lang w:val="en-US" w:eastAsia="en-US"/>
        </w:rPr>
        <w:t xml:space="preserve"> </w:t>
      </w:r>
      <w:r>
        <w:t>., 2012, as updated by Dlugokencky and Tans, 2018), from which the present annual increment is estimated as 5.17 ± 0.42 Pg yr</w:t>
      </w:r>
      <w:r w:rsidRPr="000300A0">
        <w:rPr>
          <w:position w:val="6"/>
        </w:rPr>
        <w:t>-1</w:t>
      </w:r>
      <w:r>
        <w:t xml:space="preserve">, where the uncertainty reflects the uncertainty associated with the intercept at year 2016 of least squares fits to the data over two periods, 1998–2016, and 2001–2016, yielding estimates of present (2016) value of </w:t>
      </w:r>
      <w:r w:rsidRPr="004972DF">
        <w:rPr>
          <w:i/>
        </w:rPr>
        <w:t>dS</w:t>
      </w:r>
      <w:r w:rsidRPr="004972DF">
        <w:rPr>
          <w:position w:val="-4"/>
        </w:rPr>
        <w:t>a</w:t>
      </w:r>
      <w:r>
        <w:t>/</w:t>
      </w:r>
      <w:r w:rsidRPr="004972DF">
        <w:rPr>
          <w:i/>
        </w:rPr>
        <w:t>dt</w:t>
      </w:r>
      <w:r>
        <w:t xml:space="preserve"> and associated uncertainty, 5.14 ± 0.45, and 5.21 ± 0.40 Pg yr</w:t>
      </w:r>
      <w:r w:rsidRPr="00A67430">
        <w:rPr>
          <w:position w:val="6"/>
        </w:rPr>
        <w:t>-1</w:t>
      </w:r>
      <w:r>
        <w:t xml:space="preserve">, respectively. The scatter in the data arises from fluctuations in the rates of removal processes and/or annual emission. The annual increment represents about half of current emissions (46 ± 5%), where the </w:t>
      </w:r>
      <w:r>
        <w:lastRenderedPageBreak/>
        <w:t xml:space="preserve">uncertainty takes into account uncertainty in </w:t>
      </w:r>
      <w:r w:rsidR="009A7A75" w:rsidRPr="009A7A75">
        <w:rPr>
          <w:position w:val="-10"/>
        </w:rPr>
        <w:object w:dxaOrig="360" w:dyaOrig="300" w14:anchorId="480A2F5A">
          <v:shape id="_x0000_i1048" type="#_x0000_t75" style="width:18pt;height:15.35pt" o:ole="">
            <v:imagedata r:id="rId58" o:title=""/>
          </v:shape>
          <o:OLEObject Type="Embed" ProgID="Equation.DSMT4" ShapeID="_x0000_i1048" DrawAspect="Content" ObjectID="_1571255758" r:id="rId59"/>
        </w:object>
      </w:r>
      <w:r>
        <w:t xml:space="preserve"> and </w:t>
      </w:r>
      <w:r w:rsidRPr="00CA3AA6">
        <w:rPr>
          <w:i/>
        </w:rPr>
        <w:t>Q</w:t>
      </w:r>
      <w:r w:rsidRPr="00CA3AA6">
        <w:rPr>
          <w:position w:val="-4"/>
        </w:rPr>
        <w:t>tot</w:t>
      </w:r>
      <w:r>
        <w:t>. The annual uptake of current emissions by dissolution into the ocean and by the terrestrial biosphere, obtained by difference, is 6.07 ± 0.96 Pg yr</w:t>
      </w:r>
      <w:r w:rsidRPr="001D41A3">
        <w:rPr>
          <w:position w:val="6"/>
        </w:rPr>
        <w:t>-1</w:t>
      </w:r>
      <w:r>
        <w:t xml:space="preserve">, or 54 ± 5% of annual emissions. Results from the present model closely track the observations but exhibit much less year-to-year variation than the observation-derived growth rate because of constant transfer coefficients employed in the model. </w:t>
      </w:r>
    </w:p>
    <w:p w14:paraId="67428B58" w14:textId="4C737FF9" w:rsidR="009A7A75" w:rsidRDefault="009A7A75" w:rsidP="009A7A75">
      <w:pPr>
        <w:pStyle w:val="fig"/>
      </w:pPr>
      <w:r>
        <w:rPr>
          <w:noProof/>
        </w:rPr>
        <w:drawing>
          <wp:inline distT="0" distB="0" distL="0" distR="0" wp14:anchorId="6651B2BB" wp14:editId="6F8B4565">
            <wp:extent cx="2524760" cy="1480374"/>
            <wp:effectExtent l="0" t="0" r="0" b="0"/>
            <wp:docPr id="1529" name="Picture 1529" descr="f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9" descr="fS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524760" cy="1480374"/>
                    </a:xfrm>
                    <a:prstGeom prst="rect">
                      <a:avLst/>
                    </a:prstGeom>
                    <a:noFill/>
                    <a:ln>
                      <a:noFill/>
                    </a:ln>
                  </pic:spPr>
                </pic:pic>
              </a:graphicData>
            </a:graphic>
          </wp:inline>
        </w:drawing>
      </w:r>
    </w:p>
    <w:p w14:paraId="7EE89FE2" w14:textId="77777777" w:rsidR="009A7A75" w:rsidRPr="00F25230" w:rsidRDefault="009A7A75" w:rsidP="009A7A75">
      <w:pPr>
        <w:pStyle w:val="FigFileName"/>
      </w:pPr>
      <w:r>
        <w:t>fS5.1 dSa_dt.ep</w:t>
      </w:r>
      <w:r w:rsidRPr="00F25230">
        <w:t>s</w:t>
      </w:r>
    </w:p>
    <w:p w14:paraId="677178CE" w14:textId="5DD75B8B" w:rsidR="00EB04A2" w:rsidRDefault="00EB04A2" w:rsidP="00EB04A2">
      <w:pPr>
        <w:pStyle w:val="ACPtext"/>
      </w:pPr>
      <w:r w:rsidRPr="00D151B8">
        <w:rPr>
          <w:b/>
        </w:rPr>
        <w:t>Figure S</w:t>
      </w:r>
      <w:r>
        <w:rPr>
          <w:b/>
        </w:rPr>
        <w:t>5</w:t>
      </w:r>
      <w:r w:rsidRPr="00D151B8">
        <w:rPr>
          <w:b/>
        </w:rPr>
        <w:t>.</w:t>
      </w:r>
      <w:r>
        <w:rPr>
          <w:b/>
        </w:rPr>
        <w:t>1</w:t>
      </w:r>
      <w:r>
        <w:t>. Annual rate of increase in atmospheric stock of CO</w:t>
      </w:r>
      <w:r w:rsidRPr="00542FC3">
        <w:rPr>
          <w:position w:val="-4"/>
        </w:rPr>
        <w:t>2</w:t>
      </w:r>
      <w:r>
        <w:t xml:space="preserve"> </w:t>
      </w:r>
      <w:r w:rsidRPr="004972DF">
        <w:rPr>
          <w:i/>
        </w:rPr>
        <w:t>dS</w:t>
      </w:r>
      <w:r w:rsidRPr="004972DF">
        <w:rPr>
          <w:position w:val="-4"/>
        </w:rPr>
        <w:t>a</w:t>
      </w:r>
      <w:r>
        <w:t>/</w:t>
      </w:r>
      <w:r w:rsidRPr="004972DF">
        <w:rPr>
          <w:i/>
        </w:rPr>
        <w:t>dt</w:t>
      </w:r>
      <w:r>
        <w:t xml:space="preserve"> based on differences in annual mean atmospheric mixing ratio of CO</w:t>
      </w:r>
      <w:r w:rsidRPr="00542FC3">
        <w:rPr>
          <w:position w:val="-4"/>
        </w:rPr>
        <w:t>2</w:t>
      </w:r>
      <w:r>
        <w:t xml:space="preserve">. Data from Le </w:t>
      </w:r>
      <w:r w:rsidRPr="000E2B50">
        <w:t>Quéré</w:t>
      </w:r>
      <w:r>
        <w:t xml:space="preserve"> </w:t>
      </w:r>
      <w:r w:rsidR="00061620">
        <w:t>et al</w:t>
      </w:r>
      <w:r w:rsidR="00061620">
        <w:rPr>
          <w:rFonts w:ascii="Times" w:eastAsia="宋体" w:hAnsi="Times"/>
          <w:lang w:val="en-US" w:eastAsia="en-US"/>
        </w:rPr>
        <w:t xml:space="preserve"> </w:t>
      </w:r>
      <w:r>
        <w:t>. (2918</w:t>
      </w:r>
      <w:r w:rsidRPr="006E0769">
        <w:rPr>
          <w:i/>
        </w:rPr>
        <w:t>a</w:t>
      </w:r>
      <w:r>
        <w:t xml:space="preserve">). Line segments represent linear fits to data; error bars represent uncertainties in present (2016) value of </w:t>
      </w:r>
      <w:r w:rsidRPr="004972DF">
        <w:rPr>
          <w:i/>
        </w:rPr>
        <w:t>dS</w:t>
      </w:r>
      <w:r w:rsidRPr="004972DF">
        <w:rPr>
          <w:position w:val="-4"/>
        </w:rPr>
        <w:t>a</w:t>
      </w:r>
      <w:r>
        <w:t>/</w:t>
      </w:r>
      <w:r w:rsidRPr="004972DF">
        <w:rPr>
          <w:i/>
        </w:rPr>
        <w:t>dt</w:t>
      </w:r>
      <w:r>
        <w:t xml:space="preserve"> for the two fits. Also shown are results from present model for (</w:t>
      </w:r>
      <w:r w:rsidR="00CD4735" w:rsidRPr="00CD4735">
        <w:rPr>
          <w:position w:val="-12"/>
        </w:rPr>
        <w:object w:dxaOrig="320" w:dyaOrig="380" w14:anchorId="558A7CC9">
          <v:shape id="_x0000_i1049" type="#_x0000_t75" style="width:16pt;height:19.35pt" o:ole="">
            <v:imagedata r:id="rId61" o:title=""/>
          </v:shape>
          <o:OLEObject Type="Embed" ProgID="Equation.DSMT4" ShapeID="_x0000_i1049" DrawAspect="Content" ObjectID="_1571255759" r:id="rId62"/>
        </w:object>
      </w:r>
      <w:r>
        <w:t xml:space="preserve">, </w:t>
      </w:r>
      <w:r w:rsidRPr="00293756">
        <w:rPr>
          <w:i/>
        </w:rPr>
        <w:t>b</w:t>
      </w:r>
      <w:r>
        <w:t xml:space="preserve">) = (500 Pg, 0.3). </w:t>
      </w:r>
      <w:r w:rsidRPr="00F25230">
        <w:rPr>
          <w:b/>
          <w:color w:val="000000"/>
        </w:rPr>
        <w:t>SI data table, sheets 4, 6.</w:t>
      </w:r>
      <w:r w:rsidRPr="00EB04A2">
        <w:t xml:space="preserve"> </w:t>
      </w:r>
    </w:p>
    <w:p w14:paraId="2802C707" w14:textId="77777777" w:rsidR="00EB04A2" w:rsidRPr="006668E1" w:rsidRDefault="00EB04A2" w:rsidP="00EB04A2">
      <w:pPr>
        <w:pStyle w:val="hdr"/>
        <w:rPr>
          <w:rFonts w:ascii="Times" w:hAnsi="Times"/>
        </w:rPr>
      </w:pPr>
      <w:r w:rsidRPr="006668E1">
        <w:rPr>
          <w:rFonts w:ascii="Times" w:hAnsi="Times"/>
        </w:rPr>
        <w:t xml:space="preserve">S6. Dependence of adjustment time on </w:t>
      </w:r>
      <w:r>
        <w:rPr>
          <w:rFonts w:ascii="Times" w:hAnsi="Times"/>
        </w:rPr>
        <w:t xml:space="preserve">functional form </w:t>
      </w:r>
      <w:r w:rsidRPr="006668E1">
        <w:rPr>
          <w:rFonts w:ascii="Times" w:hAnsi="Times"/>
        </w:rPr>
        <w:t xml:space="preserve">of </w:t>
      </w:r>
      <w:r>
        <w:rPr>
          <w:rFonts w:ascii="Times" w:hAnsi="Times"/>
        </w:rPr>
        <w:t>CO</w:t>
      </w:r>
      <w:r w:rsidRPr="00CE1462">
        <w:rPr>
          <w:rFonts w:ascii="Times" w:hAnsi="Times"/>
          <w:position w:val="-4"/>
        </w:rPr>
        <w:t>2</w:t>
      </w:r>
      <w:r>
        <w:rPr>
          <w:rFonts w:ascii="Times" w:hAnsi="Times"/>
        </w:rPr>
        <w:t xml:space="preserve"> emission rate</w:t>
      </w:r>
      <w:r w:rsidRPr="006668E1">
        <w:rPr>
          <w:rFonts w:ascii="Times" w:hAnsi="Times"/>
        </w:rPr>
        <w:t xml:space="preserve">. </w:t>
      </w:r>
    </w:p>
    <w:p w14:paraId="2E82EAC0" w14:textId="30FB71A3" w:rsidR="00AD6FBD" w:rsidRDefault="00EB04A2" w:rsidP="00EB04A2">
      <w:pPr>
        <w:pStyle w:val="text"/>
        <w:rPr>
          <w:color w:val="000000"/>
        </w:rPr>
      </w:pPr>
      <w:r>
        <w:rPr>
          <w:color w:val="000000"/>
        </w:rPr>
        <w:t xml:space="preserve">Because of concern (Joos, 2013; also, O'Neill </w:t>
      </w:r>
      <w:r w:rsidR="00061620">
        <w:t>et al</w:t>
      </w:r>
      <w:r w:rsidR="00061620">
        <w:rPr>
          <w:rFonts w:ascii="Times" w:eastAsia="宋体" w:hAnsi="Times"/>
          <w:lang w:val="en-US" w:eastAsia="en-US"/>
        </w:rPr>
        <w:t xml:space="preserve"> </w:t>
      </w:r>
      <w:r>
        <w:rPr>
          <w:color w:val="000000"/>
        </w:rPr>
        <w:t xml:space="preserve">., 1994; Raupach, 2013) that the adjustment time might be influenced by the emissions of </w:t>
      </w:r>
      <w:r>
        <w:t>CO</w:t>
      </w:r>
      <w:r w:rsidRPr="00542FC3">
        <w:rPr>
          <w:position w:val="-4"/>
        </w:rPr>
        <w:t>2</w:t>
      </w:r>
      <w:r>
        <w:rPr>
          <w:color w:val="000000"/>
        </w:rPr>
        <w:t xml:space="preserve"> being approximately exponential with time and the constant ratios of eigenvectors in the solution of the differential equations that would result from such an exponential forcing term, the adjustment time </w:t>
      </w:r>
      <w:r>
        <w:t>of excess CO</w:t>
      </w:r>
      <w:r w:rsidRPr="00542FC3">
        <w:rPr>
          <w:position w:val="-4"/>
        </w:rPr>
        <w:t>2</w:t>
      </w:r>
      <w:r>
        <w:t xml:space="preserve"> </w:t>
      </w:r>
      <w:r>
        <w:rPr>
          <w:color w:val="000000"/>
        </w:rPr>
        <w:t xml:space="preserve">was examined for the model run with emissions approximated by a linear function of time from 1925 to 2016, shown by the dashed lines in </w:t>
      </w:r>
      <w:r w:rsidR="00061620">
        <w:rPr>
          <w:b/>
          <w:color w:val="000000"/>
        </w:rPr>
        <w:t>Fig.</w:t>
      </w:r>
      <w:r w:rsidRPr="00E9640A">
        <w:rPr>
          <w:b/>
          <w:color w:val="000000"/>
        </w:rPr>
        <w:t xml:space="preserve"> </w:t>
      </w:r>
      <w:r>
        <w:rPr>
          <w:b/>
          <w:color w:val="000000"/>
        </w:rPr>
        <w:t>S6.1</w:t>
      </w:r>
      <w:r w:rsidRPr="00E9640A">
        <w:rPr>
          <w:b/>
          <w:i/>
          <w:color w:val="000000"/>
        </w:rPr>
        <w:t>a</w:t>
      </w:r>
      <w:r>
        <w:rPr>
          <w:color w:val="000000"/>
        </w:rPr>
        <w:t>. The resulting adjustment time was determined as a fit to decay of excess atmospheric CO</w:t>
      </w:r>
      <w:r w:rsidRPr="00542FC3">
        <w:rPr>
          <w:color w:val="000000"/>
          <w:position w:val="-4"/>
        </w:rPr>
        <w:t>2</w:t>
      </w:r>
      <w:r>
        <w:rPr>
          <w:color w:val="000000"/>
        </w:rPr>
        <w:t xml:space="preserve"> following abrupt cessation of emissions, as in </w:t>
      </w:r>
      <w:r w:rsidR="00061620">
        <w:rPr>
          <w:b/>
          <w:color w:val="000000"/>
        </w:rPr>
        <w:t>Fig.</w:t>
      </w:r>
      <w:r w:rsidRPr="001C193B">
        <w:rPr>
          <w:b/>
          <w:color w:val="000000"/>
        </w:rPr>
        <w:t xml:space="preserve"> </w:t>
      </w:r>
      <w:r>
        <w:rPr>
          <w:b/>
          <w:color w:val="000000"/>
        </w:rPr>
        <w:t>1</w:t>
      </w:r>
      <w:r w:rsidR="00061620">
        <w:rPr>
          <w:b/>
          <w:color w:val="000000"/>
        </w:rPr>
        <w:t>2</w:t>
      </w:r>
      <w:r w:rsidRPr="00E34F4B">
        <w:rPr>
          <w:b/>
          <w:i/>
          <w:color w:val="000000"/>
        </w:rPr>
        <w:t>a</w:t>
      </w:r>
      <w:r w:rsidR="00061620">
        <w:rPr>
          <w:color w:val="000000"/>
        </w:rPr>
        <w:t xml:space="preserve"> of main text,</w:t>
      </w:r>
      <w:r>
        <w:rPr>
          <w:color w:val="000000"/>
        </w:rPr>
        <w:t xml:space="preserve"> shown in </w:t>
      </w:r>
      <w:r w:rsidR="00061620">
        <w:rPr>
          <w:b/>
          <w:color w:val="000000"/>
        </w:rPr>
        <w:t>Fig.</w:t>
      </w:r>
      <w:r w:rsidRPr="001C193B">
        <w:rPr>
          <w:b/>
          <w:color w:val="000000"/>
        </w:rPr>
        <w:t xml:space="preserve"> </w:t>
      </w:r>
      <w:r>
        <w:rPr>
          <w:b/>
          <w:color w:val="000000"/>
        </w:rPr>
        <w:t>S6.1</w:t>
      </w:r>
      <w:r w:rsidRPr="001C193B">
        <w:rPr>
          <w:b/>
          <w:i/>
          <w:color w:val="000000"/>
        </w:rPr>
        <w:t>b</w:t>
      </w:r>
      <w:r>
        <w:rPr>
          <w:color w:val="000000"/>
        </w:rPr>
        <w:t>, and also as the equivalent 1/</w:t>
      </w:r>
      <w:r w:rsidRPr="00E34F4B">
        <w:rPr>
          <w:i/>
          <w:color w:val="000000"/>
        </w:rPr>
        <w:t>e</w:t>
      </w:r>
      <w:r>
        <w:rPr>
          <w:color w:val="000000"/>
        </w:rPr>
        <w:t xml:space="preserve"> lifetime </w:t>
      </w:r>
      <w:r w:rsidRPr="006B66EA">
        <w:rPr>
          <w:rFonts w:ascii="Symbol" w:hAnsi="Symbol"/>
          <w:i/>
          <w:color w:val="000000"/>
        </w:rPr>
        <w:t></w:t>
      </w:r>
      <w:r w:rsidRPr="006B66EA">
        <w:rPr>
          <w:color w:val="000000"/>
          <w:position w:val="-4"/>
        </w:rPr>
        <w:t>E</w:t>
      </w:r>
      <w:r>
        <w:rPr>
          <w:color w:val="000000"/>
        </w:rPr>
        <w:t xml:space="preserve">, </w:t>
      </w:r>
      <w:r w:rsidRPr="00E34F4B">
        <w:rPr>
          <w:b/>
          <w:color w:val="000000"/>
        </w:rPr>
        <w:t>Eq 2.6</w:t>
      </w:r>
      <w:r w:rsidR="00061620">
        <w:rPr>
          <w:color w:val="000000"/>
        </w:rPr>
        <w:t xml:space="preserve"> of main text,</w:t>
      </w:r>
      <w:r>
        <w:rPr>
          <w:color w:val="000000"/>
        </w:rPr>
        <w:t xml:space="preserve"> and compared in </w:t>
      </w:r>
      <w:r w:rsidR="00061620">
        <w:rPr>
          <w:b/>
          <w:color w:val="000000"/>
        </w:rPr>
        <w:t>Fig.</w:t>
      </w:r>
      <w:r w:rsidRPr="001C193B">
        <w:rPr>
          <w:b/>
          <w:color w:val="000000"/>
        </w:rPr>
        <w:t xml:space="preserve"> </w:t>
      </w:r>
      <w:r>
        <w:rPr>
          <w:b/>
          <w:color w:val="000000"/>
        </w:rPr>
        <w:t>S6.1</w:t>
      </w:r>
      <w:r w:rsidRPr="001C193B">
        <w:rPr>
          <w:b/>
          <w:i/>
          <w:color w:val="000000"/>
        </w:rPr>
        <w:t>c</w:t>
      </w:r>
      <w:r>
        <w:rPr>
          <w:color w:val="000000"/>
        </w:rPr>
        <w:t xml:space="preserve"> with the result for the historical emissions. Both means of determining the lifetime for this very different emission profile yield values that are in essential agreement each other and with the values determined for historical emissions, demonstrating that the value of the lifetime is not a consequence of the approximately exponential growth of historical emissions. </w:t>
      </w:r>
    </w:p>
    <w:p w14:paraId="7E08BC31" w14:textId="671182D9" w:rsidR="009A7A75" w:rsidRDefault="009A7A75" w:rsidP="009A7A75">
      <w:pPr>
        <w:pStyle w:val="fig"/>
      </w:pPr>
      <w:r>
        <w:rPr>
          <w:noProof/>
        </w:rPr>
        <w:lastRenderedPageBreak/>
        <w:drawing>
          <wp:inline distT="0" distB="0" distL="0" distR="0" wp14:anchorId="1E2B875E" wp14:editId="7F929CA3">
            <wp:extent cx="2395374" cy="2984712"/>
            <wp:effectExtent l="0" t="0" r="0" b="12700"/>
            <wp:docPr id="1531" name="Picture 1531" descr="f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1" descr="fS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396687" cy="2986347"/>
                    </a:xfrm>
                    <a:prstGeom prst="rect">
                      <a:avLst/>
                    </a:prstGeom>
                    <a:noFill/>
                    <a:ln>
                      <a:noFill/>
                    </a:ln>
                  </pic:spPr>
                </pic:pic>
              </a:graphicData>
            </a:graphic>
          </wp:inline>
        </w:drawing>
      </w:r>
    </w:p>
    <w:p w14:paraId="6CBF8689" w14:textId="4832C682" w:rsidR="00AD6FBD" w:rsidRDefault="00EB04A2" w:rsidP="00AD6FBD">
      <w:pPr>
        <w:pStyle w:val="ACPtext"/>
      </w:pPr>
      <w:r w:rsidRPr="00D7146B">
        <w:rPr>
          <w:b/>
        </w:rPr>
        <w:t xml:space="preserve">Figure </w:t>
      </w:r>
      <w:r>
        <w:rPr>
          <w:b/>
        </w:rPr>
        <w:t>S6.1</w:t>
      </w:r>
      <w:r>
        <w:t xml:space="preserve">. Linear approximation to anthropogenic emissions. </w:t>
      </w:r>
      <w:r w:rsidRPr="00F97E1B">
        <w:rPr>
          <w:i/>
        </w:rPr>
        <w:t>a</w:t>
      </w:r>
      <w:r>
        <w:t xml:space="preserve">, Historical emissions and linear approximation. </w:t>
      </w:r>
      <w:r w:rsidRPr="00475E05">
        <w:rPr>
          <w:i/>
        </w:rPr>
        <w:t>b</w:t>
      </w:r>
      <w:r>
        <w:t>, Mixing ratio of atmospheric CO</w:t>
      </w:r>
      <w:r w:rsidRPr="00542FC3">
        <w:rPr>
          <w:position w:val="-4"/>
        </w:rPr>
        <w:t>2</w:t>
      </w:r>
      <w:r>
        <w:t xml:space="preserve"> as calculated with present model for historical emissions and for linear approximation from 1750 to 2016 and with emissions reduced to 0 in 2017; both calculations are for (</w:t>
      </w:r>
      <w:r w:rsidR="00CD4735" w:rsidRPr="00CD4735">
        <w:rPr>
          <w:position w:val="-12"/>
        </w:rPr>
        <w:object w:dxaOrig="320" w:dyaOrig="380" w14:anchorId="6913960A">
          <v:shape id="_x0000_i1050" type="#_x0000_t75" style="width:16pt;height:19.35pt" o:ole="">
            <v:imagedata r:id="rId64" o:title=""/>
          </v:shape>
          <o:OLEObject Type="Embed" ProgID="Equation.DSMT4" ShapeID="_x0000_i1050" DrawAspect="Content" ObjectID="_1571255760" r:id="rId65"/>
        </w:object>
      </w:r>
      <w:r>
        <w:t xml:space="preserve">, </w:t>
      </w:r>
      <w:r w:rsidRPr="00293756">
        <w:rPr>
          <w:i/>
        </w:rPr>
        <w:t>b</w:t>
      </w:r>
      <w:r>
        <w:t>) = (400 Pg, 0.6). Also shown is observed CO</w:t>
      </w:r>
      <w:r w:rsidRPr="00542FC3">
        <w:rPr>
          <w:position w:val="-4"/>
        </w:rPr>
        <w:t>2</w:t>
      </w:r>
      <w:r>
        <w:t xml:space="preserve"> mixing ratio as in </w:t>
      </w:r>
      <w:r w:rsidR="00061620">
        <w:rPr>
          <w:b/>
          <w:color w:val="000000"/>
        </w:rPr>
        <w:t>Fig.</w:t>
      </w:r>
      <w:r w:rsidRPr="00285F14">
        <w:rPr>
          <w:b/>
          <w:color w:val="000000"/>
        </w:rPr>
        <w:t xml:space="preserve"> </w:t>
      </w:r>
      <w:r>
        <w:rPr>
          <w:b/>
          <w:color w:val="000000"/>
        </w:rPr>
        <w:t>8</w:t>
      </w:r>
      <w:r w:rsidR="00061620">
        <w:t xml:space="preserve"> of main text.</w:t>
      </w:r>
      <w:r>
        <w:t xml:space="preserve"> Magenta and cyan dashed curves are fits of excess CO</w:t>
      </w:r>
      <w:r w:rsidRPr="00542FC3">
        <w:rPr>
          <w:position w:val="-4"/>
        </w:rPr>
        <w:t>2</w:t>
      </w:r>
      <w:r>
        <w:t xml:space="preserve"> to exponential decay to 278 ppm for historical emissions and linear approximation, respectively, over the initial 100 years subsequent to cessation, with indicated time constants. </w:t>
      </w:r>
      <w:r w:rsidRPr="00490CC0">
        <w:rPr>
          <w:i/>
        </w:rPr>
        <w:t>c</w:t>
      </w:r>
      <w:r>
        <w:t>, Equivalent 1/</w:t>
      </w:r>
      <w:r w:rsidRPr="006F0F97">
        <w:rPr>
          <w:i/>
        </w:rPr>
        <w:t>e</w:t>
      </w:r>
      <w:r>
        <w:t xml:space="preserve"> lifetime </w:t>
      </w:r>
      <w:r w:rsidRPr="006F0F97">
        <w:rPr>
          <w:rFonts w:ascii="Symbol" w:hAnsi="Symbol"/>
          <w:i/>
        </w:rPr>
        <w:t></w:t>
      </w:r>
      <w:r w:rsidRPr="009A7A75">
        <w:rPr>
          <w:position w:val="-4"/>
          <w:sz w:val="16"/>
        </w:rPr>
        <w:t>E</w:t>
      </w:r>
      <w:r>
        <w:t xml:space="preserve"> of excess atmospheric CO</w:t>
      </w:r>
      <w:r w:rsidRPr="001777E2">
        <w:rPr>
          <w:position w:val="-4"/>
        </w:rPr>
        <w:t>2</w:t>
      </w:r>
      <w:r>
        <w:t xml:space="preserve"> for historical emissions and for linear approximation. </w:t>
      </w:r>
      <w:r w:rsidRPr="00870405">
        <w:rPr>
          <w:color w:val="000000"/>
        </w:rPr>
        <w:t>SI data table</w:t>
      </w:r>
      <w:r>
        <w:rPr>
          <w:color w:val="000000"/>
        </w:rPr>
        <w:t>, sheet 6.</w:t>
      </w:r>
      <w:r>
        <w:t xml:space="preserve"> </w:t>
      </w:r>
    </w:p>
    <w:p w14:paraId="06559E27" w14:textId="51C29644" w:rsidR="00EB04A2" w:rsidRDefault="00EB04A2" w:rsidP="00EB04A2">
      <w:pPr>
        <w:pStyle w:val="text"/>
        <w:rPr>
          <w:color w:val="000000"/>
        </w:rPr>
      </w:pPr>
      <w:r>
        <w:rPr>
          <w:color w:val="000000"/>
        </w:rPr>
        <w:t xml:space="preserve">Also of note in </w:t>
      </w:r>
      <w:r w:rsidR="00061620">
        <w:rPr>
          <w:b/>
          <w:color w:val="000000"/>
        </w:rPr>
        <w:t>Fig.</w:t>
      </w:r>
      <w:r w:rsidRPr="001C193B">
        <w:rPr>
          <w:b/>
          <w:color w:val="000000"/>
        </w:rPr>
        <w:t xml:space="preserve"> </w:t>
      </w:r>
      <w:r>
        <w:rPr>
          <w:b/>
          <w:color w:val="000000"/>
        </w:rPr>
        <w:t>S6.1</w:t>
      </w:r>
      <w:r w:rsidRPr="001C193B">
        <w:rPr>
          <w:b/>
          <w:i/>
          <w:color w:val="000000"/>
        </w:rPr>
        <w:t>b</w:t>
      </w:r>
      <w:r>
        <w:rPr>
          <w:color w:val="000000"/>
        </w:rPr>
        <w:t xml:space="preserve"> is the close approach of the model results with the linear emissions profile to the observations subsequent to about 50 years after initiation of the linear emissions. This result suggests that under conditions of increasing emissions, at any given time there is little memory of emissions history prior to about one adjustment time before the time of interest. </w:t>
      </w:r>
    </w:p>
    <w:p w14:paraId="1DA0E8E1" w14:textId="77777777" w:rsidR="00EB04A2" w:rsidRPr="006668E1" w:rsidRDefault="00EB04A2" w:rsidP="00EB04A2">
      <w:pPr>
        <w:pStyle w:val="hdr"/>
        <w:rPr>
          <w:rFonts w:ascii="Times" w:hAnsi="Times"/>
        </w:rPr>
      </w:pPr>
      <w:r w:rsidRPr="006668E1">
        <w:rPr>
          <w:rFonts w:ascii="Times" w:hAnsi="Times"/>
        </w:rPr>
        <w:t>S</w:t>
      </w:r>
      <w:r>
        <w:rPr>
          <w:rFonts w:ascii="Times" w:hAnsi="Times"/>
        </w:rPr>
        <w:t>7</w:t>
      </w:r>
      <w:r w:rsidRPr="006668E1">
        <w:rPr>
          <w:rFonts w:ascii="Times" w:hAnsi="Times"/>
        </w:rPr>
        <w:t>. Numerical modeling</w:t>
      </w:r>
      <w:r>
        <w:rPr>
          <w:rFonts w:ascii="Times" w:hAnsi="Times"/>
        </w:rPr>
        <w:t xml:space="preserve"> </w:t>
      </w:r>
    </w:p>
    <w:p w14:paraId="4112C7BF" w14:textId="011D8D09" w:rsidR="00EB04A2" w:rsidRDefault="00EB04A2" w:rsidP="00EB04A2">
      <w:pPr>
        <w:pStyle w:val="text"/>
      </w:pPr>
      <w:r>
        <w:t>As noted in the text (</w:t>
      </w:r>
      <w:r w:rsidRPr="00377EC9">
        <w:rPr>
          <w:b/>
        </w:rPr>
        <w:t>§5</w:t>
      </w:r>
      <w:r>
        <w:t>) the differential equations (</w:t>
      </w:r>
      <w:r w:rsidRPr="001463E4">
        <w:rPr>
          <w:b/>
        </w:rPr>
        <w:t xml:space="preserve">Eq </w:t>
      </w:r>
      <w:r>
        <w:rPr>
          <w:b/>
        </w:rPr>
        <w:t>6.1-6.5</w:t>
      </w:r>
      <w:r>
        <w:t xml:space="preserve">) consist of expressions for the rates of change of the stocks in the several compartments </w:t>
      </w:r>
      <w:r w:rsidRPr="00937C65">
        <w:rPr>
          <w:i/>
        </w:rPr>
        <w:t>S</w:t>
      </w:r>
      <w:r w:rsidRPr="00937C65">
        <w:rPr>
          <w:position w:val="-4"/>
        </w:rPr>
        <w:t>i</w:t>
      </w:r>
      <w:r>
        <w:t xml:space="preserve"> that are functions of the present values of these stocks, with transfer coefficients </w:t>
      </w:r>
      <w:r w:rsidRPr="00937C65">
        <w:rPr>
          <w:i/>
        </w:rPr>
        <w:t>k</w:t>
      </w:r>
      <w:r w:rsidRPr="00937C65">
        <w:rPr>
          <w:position w:val="-4"/>
        </w:rPr>
        <w:t>ij</w:t>
      </w:r>
      <w:r>
        <w:t xml:space="preserve">, as well as of external forcings, </w:t>
      </w:r>
      <w:r w:rsidRPr="00937C65">
        <w:rPr>
          <w:i/>
        </w:rPr>
        <w:t>Q</w:t>
      </w:r>
      <w:r w:rsidRPr="00937C65">
        <w:rPr>
          <w:position w:val="-4"/>
        </w:rPr>
        <w:t>ff</w:t>
      </w:r>
      <w:r>
        <w:t xml:space="preserve"> and </w:t>
      </w:r>
      <w:r w:rsidRPr="00937C65">
        <w:rPr>
          <w:i/>
        </w:rPr>
        <w:t>Q</w:t>
      </w:r>
      <w:r w:rsidRPr="00937C65">
        <w:rPr>
          <w:position w:val="-4"/>
        </w:rPr>
        <w:t>lu</w:t>
      </w:r>
      <w:r>
        <w:t>, that are functions of secular time, where the stocks at the time of evaluation are obtained from the previous time step in the solution of the equations. For the most part the transfer coefficients are constants, independent of time (or of the stocks) except for the coefficient describing the transfer of CO</w:t>
      </w:r>
      <w:r w:rsidRPr="00453486">
        <w:rPr>
          <w:position w:val="-4"/>
        </w:rPr>
        <w:t>2</w:t>
      </w:r>
      <w:r>
        <w:t xml:space="preserve"> from the ML to the </w:t>
      </w:r>
      <w:r>
        <w:lastRenderedPageBreak/>
        <w:t>atmosphere, which, through detailed balance considerations, depends on the equilibrium solubility of CO</w:t>
      </w:r>
      <w:r w:rsidRPr="002B26BA">
        <w:rPr>
          <w:position w:val="-4"/>
        </w:rPr>
        <w:t>2</w:t>
      </w:r>
      <w:r>
        <w:t xml:space="preserve"> at the time of evaluation, being dependent on the concentration in the surface water, and hence the stock in the ML. The rates of transfer between the AC and the ML in </w:t>
      </w:r>
      <w:r w:rsidRPr="00FB2986">
        <w:rPr>
          <w:b/>
        </w:rPr>
        <w:t xml:space="preserve">Eqs </w:t>
      </w:r>
      <w:r>
        <w:rPr>
          <w:b/>
        </w:rPr>
        <w:t>6.1</w:t>
      </w:r>
      <w:r w:rsidRPr="00FB2986">
        <w:rPr>
          <w:b/>
        </w:rPr>
        <w:t xml:space="preserve"> and</w:t>
      </w:r>
      <w:r>
        <w:rPr>
          <w:b/>
        </w:rPr>
        <w:t xml:space="preserve"> 6.2</w:t>
      </w:r>
      <w:r>
        <w:t xml:space="preserve"> are thus evaluated in terms of the departure of the actual stock </w:t>
      </w:r>
      <w:r w:rsidRPr="003B56D7">
        <w:rPr>
          <w:i/>
        </w:rPr>
        <w:t>S</w:t>
      </w:r>
      <w:r w:rsidRPr="003B56D7">
        <w:rPr>
          <w:i/>
          <w:position w:val="-4"/>
        </w:rPr>
        <w:t>i</w:t>
      </w:r>
      <w:r>
        <w:t xml:space="preserve"> and the stock that would be in equilibrium between the two phases for the sum of the two stocks at the time of evaluation. This local equilibrium distribution depends on the amount of </w:t>
      </w:r>
      <w:r w:rsidRPr="00127959">
        <w:rPr>
          <w:i/>
        </w:rPr>
        <w:t>S</w:t>
      </w:r>
      <w:r w:rsidRPr="00127959">
        <w:rPr>
          <w:position w:val="-4"/>
        </w:rPr>
        <w:t>a</w:t>
      </w:r>
      <w:r>
        <w:rPr>
          <w:position w:val="-4"/>
        </w:rPr>
        <w:t>m</w:t>
      </w:r>
      <w:r>
        <w:t>, or equivalently on equilibrium CO</w:t>
      </w:r>
      <w:r w:rsidRPr="00542FC3">
        <w:rPr>
          <w:position w:val="-4"/>
        </w:rPr>
        <w:t>2</w:t>
      </w:r>
      <w:r>
        <w:t xml:space="preserve"> mixing ratio, and can (and can only) be evaluated numerically from the equilibrium constants, total alkalinity, temperature and other controlling variables. The transfer coefficient </w:t>
      </w:r>
      <w:r w:rsidRPr="004E57CE">
        <w:rPr>
          <w:i/>
        </w:rPr>
        <w:t>k</w:t>
      </w:r>
      <w:r w:rsidRPr="004E57CE">
        <w:rPr>
          <w:position w:val="-4"/>
        </w:rPr>
        <w:t>am</w:t>
      </w:r>
      <w:r>
        <w:t xml:space="preserve"> denotes the global mean transfer coefficient of CO</w:t>
      </w:r>
      <w:r w:rsidRPr="004E57CE">
        <w:rPr>
          <w:position w:val="-4"/>
        </w:rPr>
        <w:t>2</w:t>
      </w:r>
      <w:r>
        <w:t xml:space="preserve"> from the AC to the ML. The coefficient describing the rate of transport from the ML to the AC </w:t>
      </w:r>
      <w:r w:rsidR="00CD4735" w:rsidRPr="00CD4735">
        <w:rPr>
          <w:position w:val="-10"/>
        </w:rPr>
        <w:object w:dxaOrig="380" w:dyaOrig="300" w14:anchorId="2D90201C">
          <v:shape id="_x0000_i1051" type="#_x0000_t75" style="width:19.35pt;height:15.35pt" o:ole="">
            <v:imagedata r:id="rId66" o:title=""/>
          </v:shape>
          <o:OLEObject Type="Embed" ProgID="Equation.DSMT4" ShapeID="_x0000_i1051" DrawAspect="Content" ObjectID="_1571255761" r:id="rId67"/>
        </w:object>
      </w:r>
      <w:r>
        <w:t xml:space="preserve"> is evaluated as</w:t>
      </w:r>
      <w:r w:rsidR="00CD4735" w:rsidRPr="00CD4735">
        <w:rPr>
          <w:position w:val="-10"/>
        </w:rPr>
        <w:object w:dxaOrig="1260" w:dyaOrig="300" w14:anchorId="44C36499">
          <v:shape id="_x0000_i1052" type="#_x0000_t75" style="width:63.35pt;height:15.35pt" o:ole="">
            <v:imagedata r:id="rId68" o:title=""/>
          </v:shape>
          <o:OLEObject Type="Embed" ProgID="Equation.DSMT4" ShapeID="_x0000_i1052" DrawAspect="Content" ObjectID="_1571255762" r:id="rId69"/>
        </w:object>
      </w:r>
      <w:r>
        <w:t xml:space="preserve">, where </w:t>
      </w:r>
      <w:r w:rsidR="00CD4735" w:rsidRPr="00CD4735">
        <w:rPr>
          <w:position w:val="-14"/>
        </w:rPr>
        <w:object w:dxaOrig="1720" w:dyaOrig="340" w14:anchorId="16F58F09">
          <v:shape id="_x0000_i1053" type="#_x0000_t75" style="width:86pt;height:17.35pt" o:ole="">
            <v:imagedata r:id="rId70" o:title=""/>
          </v:shape>
          <o:OLEObject Type="Embed" ProgID="Equation.DSMT4" ShapeID="_x0000_i1053" DrawAspect="Content" ObjectID="_1571255763" r:id="rId71"/>
        </w:object>
      </w:r>
      <w:r>
        <w:t xml:space="preserve"> is the </w:t>
      </w:r>
      <w:r w:rsidRPr="00AD6FBD">
        <w:rPr>
          <w:spacing w:val="-6"/>
        </w:rPr>
        <w:t>differential equilibrium constant</w:t>
      </w:r>
      <w:r>
        <w:t xml:space="preserve"> between </w:t>
      </w:r>
      <w:r w:rsidRPr="00CD0DCD">
        <w:rPr>
          <w:i/>
        </w:rPr>
        <w:t>S</w:t>
      </w:r>
      <w:r w:rsidRPr="00CD0DCD">
        <w:rPr>
          <w:position w:val="-4"/>
        </w:rPr>
        <w:t>m</w:t>
      </w:r>
      <w:r>
        <w:t xml:space="preserve"> and </w:t>
      </w:r>
      <w:r w:rsidRPr="00CD0DCD">
        <w:rPr>
          <w:i/>
        </w:rPr>
        <w:t>S</w:t>
      </w:r>
      <w:r>
        <w:rPr>
          <w:position w:val="-4"/>
        </w:rPr>
        <w:t>a</w:t>
      </w:r>
      <w:r>
        <w:t xml:space="preserve"> (</w:t>
      </w:r>
      <w:r>
        <w:rPr>
          <w:b/>
        </w:rPr>
        <w:t xml:space="preserve">Eq </w:t>
      </w:r>
      <w:r w:rsidRPr="000528AD">
        <w:rPr>
          <w:b/>
        </w:rPr>
        <w:t>2</w:t>
      </w:r>
      <w:r>
        <w:t xml:space="preserve">; </w:t>
      </w:r>
      <w:r w:rsidRPr="00CD0DCD">
        <w:rPr>
          <w:b/>
        </w:rPr>
        <w:t>Appendix B</w:t>
      </w:r>
      <w:r w:rsidR="00061620">
        <w:rPr>
          <w:b/>
        </w:rPr>
        <w:t xml:space="preserve"> </w:t>
      </w:r>
      <w:r w:rsidR="00061620" w:rsidRPr="00061620">
        <w:t>of main text,</w:t>
      </w:r>
      <w:r w:rsidRPr="00CD0DCD">
        <w:rPr>
          <w:b/>
        </w:rPr>
        <w:t xml:space="preserve"> Eq B15, </w:t>
      </w:r>
      <w:r w:rsidR="00061620">
        <w:rPr>
          <w:b/>
        </w:rPr>
        <w:t>Fig.</w:t>
      </w:r>
      <w:r w:rsidRPr="00CD0DCD">
        <w:rPr>
          <w:b/>
        </w:rPr>
        <w:t xml:space="preserve"> B1</w:t>
      </w:r>
      <w:r>
        <w:t xml:space="preserve">). </w:t>
      </w:r>
    </w:p>
    <w:p w14:paraId="0885B339" w14:textId="080098E5" w:rsidR="00EB04A2" w:rsidRDefault="00665CC1" w:rsidP="00EB04A2">
      <w:pPr>
        <w:pStyle w:val="eqn"/>
        <w:tabs>
          <w:tab w:val="center" w:pos="4050"/>
        </w:tabs>
      </w:pPr>
      <w:r w:rsidRPr="00665CC1">
        <w:rPr>
          <w:position w:val="-30"/>
        </w:rPr>
        <w:object w:dxaOrig="8280" w:dyaOrig="760" w14:anchorId="17FF6BCD">
          <v:shape id="_x0000_i1054" type="#_x0000_t75" style="width:414pt;height:38pt" o:ole="">
            <v:imagedata r:id="rId72" o:title=""/>
          </v:shape>
          <o:OLEObject Type="Embed" ProgID="Equation.DSMT4" ShapeID="_x0000_i1054" DrawAspect="Content" ObjectID="_1571255764" r:id="rId73"/>
        </w:object>
      </w:r>
      <w:r>
        <w:tab/>
      </w:r>
      <w:r w:rsidR="00EB04A2">
        <w:t>(6.1)</w:t>
      </w:r>
    </w:p>
    <w:p w14:paraId="0C39341A" w14:textId="4EB18ECA" w:rsidR="00EB04A2" w:rsidRDefault="00CD4735" w:rsidP="00EB04A2">
      <w:pPr>
        <w:pStyle w:val="eqn"/>
        <w:tabs>
          <w:tab w:val="center" w:pos="4050"/>
        </w:tabs>
      </w:pPr>
      <w:r w:rsidRPr="00CD4735">
        <w:rPr>
          <w:position w:val="-20"/>
        </w:rPr>
        <w:object w:dxaOrig="5940" w:dyaOrig="520" w14:anchorId="0CBFBCB8">
          <v:shape id="_x0000_i1055" type="#_x0000_t75" style="width:297.35pt;height:26pt" o:ole="">
            <v:imagedata r:id="rId74" o:title=""/>
          </v:shape>
          <o:OLEObject Type="Embed" ProgID="Equation.DSMT4" ShapeID="_x0000_i1055" DrawAspect="Content" ObjectID="_1571255765" r:id="rId75"/>
        </w:object>
      </w:r>
      <w:r w:rsidR="00EB04A2">
        <w:tab/>
        <w:t>(6.2)</w:t>
      </w:r>
    </w:p>
    <w:p w14:paraId="09908B3C" w14:textId="20BF6688" w:rsidR="00EB04A2" w:rsidRDefault="00CD4735" w:rsidP="00EB04A2">
      <w:pPr>
        <w:pStyle w:val="eqn"/>
        <w:tabs>
          <w:tab w:val="center" w:pos="2970"/>
        </w:tabs>
      </w:pPr>
      <w:r w:rsidRPr="00CD4735">
        <w:rPr>
          <w:position w:val="-20"/>
        </w:rPr>
        <w:object w:dxaOrig="2300" w:dyaOrig="520" w14:anchorId="69CD3922">
          <v:shape id="_x0000_i1056" type="#_x0000_t75" style="width:115.35pt;height:26pt" o:ole="">
            <v:imagedata r:id="rId76" o:title=""/>
          </v:shape>
          <o:OLEObject Type="Embed" ProgID="Equation.DSMT4" ShapeID="_x0000_i1056" DrawAspect="Content" ObjectID="_1571255766" r:id="rId77"/>
        </w:object>
      </w:r>
      <w:r w:rsidR="00EB04A2">
        <w:tab/>
      </w:r>
      <w:r w:rsidR="00EB04A2">
        <w:tab/>
        <w:t>(6.3)</w:t>
      </w:r>
    </w:p>
    <w:p w14:paraId="093A42B5" w14:textId="07A1E15A" w:rsidR="00EB04A2" w:rsidRDefault="00CD4735" w:rsidP="00EB04A2">
      <w:pPr>
        <w:pStyle w:val="eqn"/>
      </w:pPr>
      <w:r w:rsidRPr="00CD4735">
        <w:rPr>
          <w:position w:val="-30"/>
        </w:rPr>
        <w:object w:dxaOrig="2160" w:dyaOrig="760" w14:anchorId="684EF9C2">
          <v:shape id="_x0000_i1057" type="#_x0000_t75" style="width:108pt;height:38pt" o:ole="">
            <v:imagedata r:id="rId78" o:title=""/>
          </v:shape>
          <o:OLEObject Type="Embed" ProgID="Equation.DSMT4" ShapeID="_x0000_i1057" DrawAspect="Content" ObjectID="_1571255767" r:id="rId79"/>
        </w:object>
      </w:r>
      <w:r w:rsidR="00EB04A2">
        <w:t>.</w:t>
      </w:r>
      <w:r w:rsidR="00EB04A2">
        <w:tab/>
        <w:t>(6.4)</w:t>
      </w:r>
    </w:p>
    <w:p w14:paraId="1B1DDF4A" w14:textId="78ECB486" w:rsidR="00EB04A2" w:rsidRDefault="00CD4735" w:rsidP="00EB04A2">
      <w:pPr>
        <w:pStyle w:val="eqn"/>
      </w:pPr>
      <w:r w:rsidRPr="00CD4735">
        <w:rPr>
          <w:position w:val="-30"/>
        </w:rPr>
        <w:object w:dxaOrig="3320" w:dyaOrig="760" w14:anchorId="2BD66B9F">
          <v:shape id="_x0000_i1058" type="#_x0000_t75" style="width:166pt;height:38pt" o:ole="">
            <v:imagedata r:id="rId80" o:title=""/>
          </v:shape>
          <o:OLEObject Type="Embed" ProgID="Equation.DSMT4" ShapeID="_x0000_i1058" DrawAspect="Content" ObjectID="_1571255768" r:id="rId81"/>
        </w:object>
      </w:r>
      <w:r w:rsidR="00EB04A2">
        <w:tab/>
        <w:t>(6.5)</w:t>
      </w:r>
    </w:p>
    <w:p w14:paraId="673FDCD9" w14:textId="01E98C7D" w:rsidR="00AD6FBD" w:rsidRDefault="00EB04A2" w:rsidP="00EB04A2">
      <w:pPr>
        <w:pStyle w:val="text"/>
      </w:pPr>
      <w:r>
        <w:t xml:space="preserve">The function </w:t>
      </w:r>
      <w:r w:rsidRPr="00AD6FBD">
        <w:rPr>
          <w:rFonts w:ascii="Courier" w:hAnsi="Courier"/>
          <w:sz w:val="18"/>
        </w:rPr>
        <w:t>IntegrateS(tt, S, dSdt)</w:t>
      </w:r>
      <w:r w:rsidRPr="00AD6FBD">
        <w:rPr>
          <w:sz w:val="18"/>
        </w:rPr>
        <w:t xml:space="preserve"> </w:t>
      </w:r>
      <w:r>
        <w:t xml:space="preserve">listed below evaluates the derivatives of the stocks </w:t>
      </w:r>
      <w:r w:rsidRPr="005E3DC5">
        <w:rPr>
          <w:rFonts w:ascii="Courier" w:hAnsi="Courier"/>
          <w:sz w:val="18"/>
        </w:rPr>
        <w:t xml:space="preserve">dS[i]/dt </w:t>
      </w:r>
      <w:r>
        <w:t xml:space="preserve">required by the ODE solver (here in the </w:t>
      </w:r>
      <w:r w:rsidRPr="007678DD">
        <w:t>Igor Pro software package</w:t>
      </w:r>
      <w:r>
        <w:t xml:space="preserve">; www.wavemetrics.com). The function is called by the ODE solver at variable time step to achieve specified convergence of solution. Input to function is current values of the stocks </w:t>
      </w:r>
      <w:r w:rsidRPr="005E3DC5">
        <w:rPr>
          <w:rFonts w:ascii="Courier" w:hAnsi="Courier"/>
          <w:sz w:val="18"/>
        </w:rPr>
        <w:t>S[i]</w:t>
      </w:r>
      <w:r w:rsidRPr="005E3DC5">
        <w:rPr>
          <w:sz w:val="18"/>
        </w:rPr>
        <w:t xml:space="preserve"> </w:t>
      </w:r>
      <w:r>
        <w:t xml:space="preserve">at the time </w:t>
      </w:r>
      <w:r w:rsidRPr="005E3DC5">
        <w:rPr>
          <w:rFonts w:ascii="Courier" w:hAnsi="Courier"/>
          <w:sz w:val="18"/>
        </w:rPr>
        <w:t>tt</w:t>
      </w:r>
      <w:r>
        <w:t xml:space="preserve"> of the call, together with other variables: emissions </w:t>
      </w:r>
      <w:r w:rsidRPr="005E3DC5">
        <w:rPr>
          <w:rFonts w:ascii="Courier" w:hAnsi="Courier"/>
          <w:sz w:val="18"/>
        </w:rPr>
        <w:t xml:space="preserve">Qtot </w:t>
      </w:r>
      <w:r w:rsidR="005E3DC5">
        <w:t xml:space="preserve">and </w:t>
      </w:r>
      <w:r w:rsidRPr="005E3DC5">
        <w:rPr>
          <w:rFonts w:ascii="Courier" w:hAnsi="Courier"/>
          <w:sz w:val="18"/>
        </w:rPr>
        <w:t>Qlu</w:t>
      </w:r>
      <w:r>
        <w:t xml:space="preserve">, functions of secular time; differential equilibrium constant </w:t>
      </w:r>
      <w:r w:rsidR="00CD4735" w:rsidRPr="00CD4735">
        <w:rPr>
          <w:position w:val="-10"/>
        </w:rPr>
        <w:object w:dxaOrig="440" w:dyaOrig="300" w14:anchorId="112445BB">
          <v:shape id="_x0000_i1059" type="#_x0000_t75" style="width:22pt;height:15.35pt" o:ole="">
            <v:imagedata r:id="rId82" o:title=""/>
          </v:shape>
          <o:OLEObject Type="Embed" ProgID="Equation.DSMT4" ShapeID="_x0000_i1059" DrawAspect="Content" ObjectID="_1571255769" r:id="rId83"/>
        </w:object>
      </w:r>
      <w:r>
        <w:t xml:space="preserve"> (variable name </w:t>
      </w:r>
      <w:r w:rsidRPr="005E3DC5">
        <w:rPr>
          <w:rFonts w:ascii="Courier" w:hAnsi="Courier"/>
          <w:sz w:val="18"/>
        </w:rPr>
        <w:t>KKpma</w:t>
      </w:r>
      <w:r>
        <w:t xml:space="preserve">), function of </w:t>
      </w:r>
      <w:r w:rsidRPr="00E63C28">
        <w:rPr>
          <w:i/>
        </w:rPr>
        <w:t>S</w:t>
      </w:r>
      <w:r>
        <w:rPr>
          <w:position w:val="-4"/>
        </w:rPr>
        <w:t>am</w:t>
      </w:r>
      <w:r>
        <w:t xml:space="preserve">; equilibrium distribution fraction </w:t>
      </w:r>
      <w:r w:rsidRPr="0064254A">
        <w:rPr>
          <w:rFonts w:ascii="Symbol" w:hAnsi="Symbol"/>
        </w:rPr>
        <w:t></w:t>
      </w:r>
      <w:r w:rsidRPr="0064254A">
        <w:rPr>
          <w:position w:val="-4"/>
        </w:rPr>
        <w:t>aq</w:t>
      </w:r>
      <w:r>
        <w:t xml:space="preserve"> (variable name </w:t>
      </w:r>
      <w:r w:rsidRPr="005E3DC5">
        <w:rPr>
          <w:rFonts w:ascii="Courier" w:hAnsi="Courier"/>
          <w:sz w:val="18"/>
        </w:rPr>
        <w:t>Phi_aeq</w:t>
      </w:r>
      <w:r>
        <w:t xml:space="preserve">), function of </w:t>
      </w:r>
      <w:r w:rsidRPr="00FD28C6">
        <w:rPr>
          <w:i/>
        </w:rPr>
        <w:t>S</w:t>
      </w:r>
      <w:r w:rsidRPr="00774E0E">
        <w:rPr>
          <w:position w:val="-4"/>
        </w:rPr>
        <w:t>am</w:t>
      </w:r>
      <w:r>
        <w:t xml:space="preserve">; riverine flux </w:t>
      </w:r>
      <w:r w:rsidRPr="005E3DC5">
        <w:rPr>
          <w:rFonts w:ascii="Courier" w:hAnsi="Courier"/>
          <w:sz w:val="18"/>
        </w:rPr>
        <w:t>Ftm_pi</w:t>
      </w:r>
      <w:r>
        <w:t xml:space="preserve">, and particulate flux from ML to DO </w:t>
      </w:r>
      <w:r w:rsidRPr="0046300B">
        <w:rPr>
          <w:rFonts w:ascii="Courier" w:hAnsi="Courier"/>
        </w:rPr>
        <w:t>Fpc</w:t>
      </w:r>
      <w:r>
        <w:t xml:space="preserve">. </w:t>
      </w:r>
      <w:r w:rsidRPr="00403A2F">
        <w:rPr>
          <w:rFonts w:ascii="Courier" w:hAnsi="Courier"/>
        </w:rPr>
        <w:t>Phi_aeq</w:t>
      </w:r>
      <w:r>
        <w:t xml:space="preserve"> and </w:t>
      </w:r>
      <w:r w:rsidRPr="00525F53">
        <w:rPr>
          <w:rFonts w:ascii="Courier" w:hAnsi="Courier"/>
        </w:rPr>
        <w:t>KK</w:t>
      </w:r>
      <w:r>
        <w:rPr>
          <w:rFonts w:ascii="Courier" w:hAnsi="Courier"/>
        </w:rPr>
        <w:t xml:space="preserve">pma </w:t>
      </w:r>
      <w:r>
        <w:t>are</w:t>
      </w:r>
      <w:r>
        <w:rPr>
          <w:rFonts w:ascii="Courier" w:hAnsi="Courier"/>
        </w:rPr>
        <w:t xml:space="preserve"> </w:t>
      </w:r>
      <w:r>
        <w:t xml:space="preserve">evaluated at run time by interpolation in tables of </w:t>
      </w:r>
      <w:r w:rsidRPr="005E3DC5">
        <w:rPr>
          <w:rFonts w:ascii="Courier" w:hAnsi="Courier"/>
          <w:sz w:val="18"/>
        </w:rPr>
        <w:t>Phi_aeq</w:t>
      </w:r>
      <w:r>
        <w:t xml:space="preserve"> and </w:t>
      </w:r>
      <w:r w:rsidRPr="005E3DC5">
        <w:rPr>
          <w:rFonts w:ascii="Courier" w:hAnsi="Courier"/>
          <w:sz w:val="18"/>
        </w:rPr>
        <w:t>KKpma</w:t>
      </w:r>
      <w:r w:rsidRPr="005E3DC5">
        <w:rPr>
          <w:sz w:val="18"/>
        </w:rPr>
        <w:t xml:space="preserve"> </w:t>
      </w:r>
      <w:r>
        <w:t xml:space="preserve">versus </w:t>
      </w:r>
      <w:r w:rsidRPr="00230976">
        <w:rPr>
          <w:i/>
        </w:rPr>
        <w:t>S</w:t>
      </w:r>
      <w:r w:rsidRPr="00230976">
        <w:rPr>
          <w:position w:val="-4"/>
        </w:rPr>
        <w:t>am</w:t>
      </w:r>
      <w:r>
        <w:t xml:space="preserve"> calculated offline using CO</w:t>
      </w:r>
      <w:r w:rsidRPr="008C353B">
        <w:rPr>
          <w:position w:val="-4"/>
        </w:rPr>
        <w:t>2</w:t>
      </w:r>
      <w:r>
        <w:t xml:space="preserve">SYS (Lewis and Wallace, 1998; Pierrot </w:t>
      </w:r>
      <w:r w:rsidR="00061620">
        <w:t>et al</w:t>
      </w:r>
      <w:r w:rsidR="00061620">
        <w:rPr>
          <w:rFonts w:ascii="Times" w:eastAsia="宋体" w:hAnsi="Times"/>
          <w:lang w:val="en-US" w:eastAsia="en-US"/>
        </w:rPr>
        <w:t xml:space="preserve"> </w:t>
      </w:r>
      <w:r>
        <w:t xml:space="preserve">., 2006); attempts to solve the differential equations using regression fits failed, necessitating the interpolation. </w:t>
      </w:r>
    </w:p>
    <w:p w14:paraId="2C90D69F" w14:textId="6F7499DE" w:rsidR="00EB04A2" w:rsidRPr="00AD6FBD" w:rsidRDefault="00EB04A2" w:rsidP="00CD4735">
      <w:pPr>
        <w:keepNext/>
        <w:spacing w:before="200" w:line="240" w:lineRule="auto"/>
        <w:ind w:left="1267" w:hanging="1267"/>
        <w:jc w:val="left"/>
        <w:rPr>
          <w:rFonts w:ascii="Courier" w:hAnsi="Courier"/>
          <w:sz w:val="18"/>
          <w:szCs w:val="20"/>
        </w:rPr>
      </w:pPr>
      <w:r w:rsidRPr="00AD6FBD">
        <w:rPr>
          <w:rFonts w:ascii="Courier" w:hAnsi="Courier"/>
          <w:sz w:val="18"/>
          <w:szCs w:val="20"/>
        </w:rPr>
        <w:lastRenderedPageBreak/>
        <w:t>Function IntegrateS(tt, S, dSdt)</w:t>
      </w:r>
    </w:p>
    <w:p w14:paraId="4B8658CB" w14:textId="77777777" w:rsidR="00EB04A2"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ab/>
        <w:t>// Denotes comments</w:t>
      </w:r>
    </w:p>
    <w:p w14:paraId="7C094513" w14:textId="77777777" w:rsidR="00EB04A2"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ab/>
        <w:t>// tt, time since initiation of run</w:t>
      </w:r>
    </w:p>
    <w:p w14:paraId="0AABE83C" w14:textId="7A9F0E45" w:rsidR="00EB04A2"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ab/>
        <w:t xml:space="preserve">// S[i] = Sa, Sm, Sd, Sl, So for i = 0 ... 4; //Stocks </w:t>
      </w:r>
      <w:r w:rsidR="00FA3E3E">
        <w:rPr>
          <w:rFonts w:ascii="Courier" w:hAnsi="Courier"/>
          <w:sz w:val="18"/>
          <w:szCs w:val="20"/>
        </w:rPr>
        <w:t>to be calculated</w:t>
      </w:r>
    </w:p>
    <w:p w14:paraId="0909E083"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ab/>
        <w:t>// dSdt[i] = dSa/dt, etc. //Derivatives to be calculated</w:t>
      </w:r>
    </w:p>
    <w:p w14:paraId="471F8CBE"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//---Constant variables (may depend on parameters Sl_pi and bexp)</w:t>
      </w:r>
    </w:p>
    <w:p w14:paraId="3132E952"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 xml:space="preserve">Variable /G bexp // Fertilization exponent b </w:t>
      </w:r>
    </w:p>
    <w:p w14:paraId="3B34A8A5"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Variable /G Fom_pi // Riverine flux</w:t>
      </w:r>
    </w:p>
    <w:p w14:paraId="401FD809"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Variable /G Fpc // Particulate flux ML to DO</w:t>
      </w:r>
    </w:p>
    <w:p w14:paraId="0DC5A88A"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Variable /G FGPPpi //PI GPP</w:t>
      </w:r>
    </w:p>
    <w:p w14:paraId="7E3FAA39"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Variable /G Sa_pi, Sm_pi, Sd_pi, Sl_pi, So_pi //PI stocks</w:t>
      </w:r>
    </w:p>
    <w:p w14:paraId="191A6E1F"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Variable /G Sa_pd, So_pd, SoAntpd //PD stocks</w:t>
      </w:r>
    </w:p>
    <w:p w14:paraId="4FBE6BD9"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Variable /G FGPPpd = FGPPpi*(Sa_pd/Sa_pi)^bexp //power law dependence of GPP on Sa</w:t>
      </w:r>
    </w:p>
    <w:p w14:paraId="3CD78400"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Variable /G dSapddt //PD rate of increase in Sa</w:t>
      </w:r>
    </w:p>
    <w:p w14:paraId="36BDEB80"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Variable /G Upsilon = bexp*(Sa_pd/Sa_pi)^bexp * dSapddt/Sa_pd //intermediate variable</w:t>
      </w:r>
    </w:p>
    <w:p w14:paraId="3B899D4C"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Variable /G dSlpddt = Upsilon*Sl_pi // derivative; chain rule; calculated for specified Sl_pi and bexp</w:t>
      </w:r>
    </w:p>
    <w:p w14:paraId="07907436"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Variable /G dSbpddt //PD rate of increase in TB due to transfer to/from from other compartments; does not include emissions from OB</w:t>
      </w:r>
    </w:p>
    <w:p w14:paraId="29A6FF34"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Variable /G dSopddt = dSbpddt- dSlpddt //by difference; does not include emissions from OB</w:t>
      </w:r>
    </w:p>
    <w:p w14:paraId="3E76443B"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Variable /G kmd, kdm //transfer coefficients</w:t>
      </w:r>
    </w:p>
    <w:p w14:paraId="40D54589"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Variable /G kla = FGPPpi/Sl_pi</w:t>
      </w:r>
    </w:p>
    <w:p w14:paraId="3E2EBD74"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Variable /G Faopi = (dSopddt - Fom_pi*SoAntpd/So_pi)/((Sa_pd/Sa_pi)^bexp - So_pd/So_pi)</w:t>
      </w:r>
    </w:p>
    <w:p w14:paraId="463A24BD"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Variable /G koa = (Faopi - Fom_pi)/So_pi</w:t>
      </w:r>
    </w:p>
    <w:p w14:paraId="029AB762"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//---Time-dependent variables</w:t>
      </w:r>
    </w:p>
    <w:p w14:paraId="5077CBE4"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 xml:space="preserve">Variable yeartt= tt+1740 </w:t>
      </w:r>
      <w:r w:rsidRPr="00AD6FBD">
        <w:rPr>
          <w:rFonts w:ascii="Courier" w:hAnsi="Courier"/>
          <w:sz w:val="18"/>
          <w:szCs w:val="20"/>
        </w:rPr>
        <w:br/>
        <w:t>//secular time variable. Integration starts at 1740</w:t>
      </w:r>
    </w:p>
    <w:p w14:paraId="09B18D6E"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 xml:space="preserve">Variable Sam = S[0] + S[1] </w:t>
      </w:r>
      <w:r w:rsidRPr="00AD6FBD">
        <w:rPr>
          <w:rFonts w:ascii="Courier" w:hAnsi="Courier"/>
          <w:sz w:val="18"/>
          <w:szCs w:val="20"/>
        </w:rPr>
        <w:br/>
        <w:t xml:space="preserve">//Value at the beginning of time step; </w:t>
      </w:r>
    </w:p>
    <w:p w14:paraId="30E72331"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 xml:space="preserve">Variable Phi_a = Interp(Sam, Sameq, Phi_aeq) </w:t>
      </w:r>
      <w:r w:rsidRPr="00AD6FBD">
        <w:rPr>
          <w:rFonts w:ascii="Courier" w:hAnsi="Courier"/>
          <w:sz w:val="18"/>
          <w:szCs w:val="20"/>
        </w:rPr>
        <w:br/>
        <w:t>//Phi_aeq = Saeq/(Saeq + Smeq) (calculated offline)</w:t>
      </w:r>
    </w:p>
    <w:p w14:paraId="18A82687"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lastRenderedPageBreak/>
        <w:t xml:space="preserve">Variable Phi_m= 1-Phi_a </w:t>
      </w:r>
      <w:r w:rsidRPr="00AD6FBD">
        <w:rPr>
          <w:rFonts w:ascii="Courier" w:hAnsi="Courier"/>
          <w:sz w:val="18"/>
          <w:szCs w:val="20"/>
        </w:rPr>
        <w:br/>
        <w:t>// complement of Phi_a</w:t>
      </w:r>
    </w:p>
    <w:p w14:paraId="4043A6B8" w14:textId="2E3DEC8A" w:rsidR="00EB04A2"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 xml:space="preserve">Variable V_Saeq = Sam*Phi_a </w:t>
      </w:r>
      <w:r w:rsidRPr="00AD6FBD">
        <w:rPr>
          <w:rFonts w:ascii="Courier" w:hAnsi="Courier"/>
          <w:sz w:val="18"/>
          <w:szCs w:val="20"/>
        </w:rPr>
        <w:br/>
        <w:t>// Equilibrium amount of Sa for specified Sam</w:t>
      </w:r>
    </w:p>
    <w:p w14:paraId="35CF3159"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 xml:space="preserve">Variable V_Smeq = Sam*Phi_m </w:t>
      </w:r>
      <w:r w:rsidRPr="00AD6FBD">
        <w:rPr>
          <w:rFonts w:ascii="Courier" w:hAnsi="Courier"/>
          <w:sz w:val="18"/>
          <w:szCs w:val="20"/>
        </w:rPr>
        <w:br/>
        <w:t>// Equilibrium amount of Sm for specified Sam</w:t>
      </w:r>
    </w:p>
    <w:p w14:paraId="1BC25BF8"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 xml:space="preserve">Variable V_KKpma = Interp (Sam, SameqPgC, KKpma) </w:t>
      </w:r>
      <w:r w:rsidRPr="00AD6FBD">
        <w:rPr>
          <w:rFonts w:ascii="Courier" w:hAnsi="Courier"/>
          <w:sz w:val="18"/>
          <w:szCs w:val="20"/>
        </w:rPr>
        <w:br/>
        <w:t>//local value of KKpma, the differential eq constant between Sm and Sa as fn of amount of CO2, here Sam</w:t>
      </w:r>
    </w:p>
    <w:p w14:paraId="14FDFEDD"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Variable QQQ = Qtot[floor(yeartt-1740)]</w:t>
      </w:r>
      <w:r w:rsidRPr="00AD6FBD">
        <w:rPr>
          <w:rFonts w:ascii="Courier" w:hAnsi="Courier"/>
          <w:sz w:val="18"/>
          <w:szCs w:val="20"/>
        </w:rPr>
        <w:br/>
        <w:t>// Total annual emission as fn of time, from table; = Qff + Qlu</w:t>
      </w:r>
    </w:p>
    <w:p w14:paraId="4B2BD57A"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Variable QQlu = Qlu[floor(yeartt-1740)]</w:t>
      </w:r>
      <w:r w:rsidRPr="00AD6FBD">
        <w:rPr>
          <w:rFonts w:ascii="Courier" w:hAnsi="Courier"/>
          <w:sz w:val="18"/>
          <w:szCs w:val="20"/>
        </w:rPr>
        <w:br/>
        <w:t>// LUC Emission as fn of time, from table</w:t>
      </w:r>
    </w:p>
    <w:p w14:paraId="5F36A34B"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//---Expressions for derivatives</w:t>
      </w:r>
    </w:p>
    <w:p w14:paraId="3BB0F114"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dSdt[0] = QQQ -kam*(S[0] -V_Saeq) +kam*V_KKpma*(S[1] -V_Smeq) - FGPPpi*(S[0]/Sa_pi)^bexp + kla*S[3] - Faopi*(S[0]/Sa_pi)^bexp + koa*S[4]//Sa</w:t>
      </w:r>
    </w:p>
    <w:p w14:paraId="17F73617"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dSdt[1] =  kam*(S[0] -V_Saeq) -kam*V_KKpma*(S[1] -V_Smeq) -kmd*S[1] +kdm*S[2] +Fom_pi -Fpc  //Sm; Adding preindustrial Fom_pi flux here; loss of Fpc</w:t>
      </w:r>
    </w:p>
    <w:p w14:paraId="7254A17F"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dSdt[2] = kmd*S[1] -kdm*S[2] + Fpc  //Sd; Only exchanges are with Sm</w:t>
      </w:r>
    </w:p>
    <w:p w14:paraId="1627F8AE"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dSdt[3] = FGPPpi*(S[0]/Sa_pi)^bexp -kla*(S[3]) //Sl</w:t>
      </w:r>
    </w:p>
    <w:p w14:paraId="28C77B5D"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dSdt[4] = Faopi*(S[0]/Sa_pi)^bexp -koa*(S[4]) - Fom_pi -QQlu //So</w:t>
      </w:r>
    </w:p>
    <w:p w14:paraId="77FCFF28" w14:textId="4E10DEF5"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Return</w:t>
      </w:r>
      <w:r w:rsidRPr="00AD6FBD">
        <w:rPr>
          <w:rFonts w:ascii="Courier" w:hAnsi="Courier"/>
          <w:sz w:val="18"/>
          <w:szCs w:val="20"/>
        </w:rPr>
        <w:tab/>
        <w:t xml:space="preserve">//returns values of </w:t>
      </w:r>
      <w:r w:rsidR="00FA3E3E">
        <w:rPr>
          <w:rFonts w:ascii="Courier" w:hAnsi="Courier"/>
          <w:sz w:val="18"/>
          <w:szCs w:val="20"/>
        </w:rPr>
        <w:t>stocks</w:t>
      </w:r>
      <w:r w:rsidR="00780E54">
        <w:rPr>
          <w:rFonts w:ascii="Courier" w:hAnsi="Courier"/>
          <w:sz w:val="18"/>
          <w:szCs w:val="20"/>
        </w:rPr>
        <w:t xml:space="preserve"> S[i] and </w:t>
      </w:r>
      <w:r w:rsidRPr="00AD6FBD">
        <w:rPr>
          <w:rFonts w:ascii="Courier" w:hAnsi="Courier"/>
          <w:sz w:val="18"/>
          <w:szCs w:val="20"/>
        </w:rPr>
        <w:t>derivatives dSdt</w:t>
      </w:r>
      <w:r w:rsidR="00780E54">
        <w:rPr>
          <w:rFonts w:ascii="Courier" w:hAnsi="Courier"/>
          <w:sz w:val="18"/>
          <w:szCs w:val="20"/>
        </w:rPr>
        <w:t>[i] at times tt</w:t>
      </w:r>
    </w:p>
    <w:p w14:paraId="7D9CC9CD" w14:textId="77777777" w:rsidR="00AD6FBD" w:rsidRPr="00AD6FBD" w:rsidRDefault="00EB04A2" w:rsidP="00AD6FBD">
      <w:pPr>
        <w:spacing w:before="200" w:line="240" w:lineRule="auto"/>
        <w:ind w:left="1267" w:hanging="1267"/>
        <w:jc w:val="left"/>
        <w:rPr>
          <w:rFonts w:ascii="Courier" w:hAnsi="Courier"/>
          <w:sz w:val="18"/>
          <w:szCs w:val="20"/>
        </w:rPr>
      </w:pPr>
      <w:r w:rsidRPr="00AD6FBD">
        <w:rPr>
          <w:rFonts w:ascii="Courier" w:hAnsi="Courier"/>
          <w:sz w:val="18"/>
          <w:szCs w:val="20"/>
        </w:rPr>
        <w:t>End</w:t>
      </w:r>
    </w:p>
    <w:sectPr w:rsidR="00AD6FBD" w:rsidRPr="00AD6FBD" w:rsidSect="00F512A5">
      <w:footerReference w:type="default" r:id="rId84"/>
      <w:pgSz w:w="11907" w:h="13608"/>
      <w:pgMar w:top="567" w:right="936" w:bottom="1338" w:left="936" w:header="0" w:footer="737" w:gutter="0"/>
      <w:lnNumType w:countBy="5" w:distance="227"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37280" w14:textId="77777777" w:rsidR="00061620" w:rsidRDefault="00061620" w:rsidP="006D0C96">
      <w:pPr>
        <w:spacing w:line="240" w:lineRule="auto"/>
      </w:pPr>
      <w:r>
        <w:separator/>
      </w:r>
    </w:p>
  </w:endnote>
  <w:endnote w:type="continuationSeparator" w:id="0">
    <w:p w14:paraId="472F4DBE" w14:textId="77777777" w:rsidR="00061620" w:rsidRDefault="00061620" w:rsidP="006D0C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ÀŒÃÂ"/>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788171"/>
      <w:docPartObj>
        <w:docPartGallery w:val="Page Numbers (Bottom of Page)"/>
        <w:docPartUnique/>
      </w:docPartObj>
    </w:sdtPr>
    <w:sdtEndPr>
      <w:rPr>
        <w:noProof/>
      </w:rPr>
    </w:sdtEndPr>
    <w:sdtContent>
      <w:p w14:paraId="5576ABD1" w14:textId="77777777" w:rsidR="00061620" w:rsidRDefault="00061620">
        <w:pPr>
          <w:pStyle w:val="Footer"/>
          <w:jc w:val="center"/>
        </w:pPr>
        <w:r>
          <w:fldChar w:fldCharType="begin"/>
        </w:r>
        <w:r>
          <w:instrText xml:space="preserve"> PAGE   \* MERGEFORMAT </w:instrText>
        </w:r>
        <w:r>
          <w:fldChar w:fldCharType="separate"/>
        </w:r>
        <w:r w:rsidR="006A52B2">
          <w:rPr>
            <w:noProof/>
          </w:rPr>
          <w:t>4</w:t>
        </w:r>
        <w:r>
          <w:rPr>
            <w:noProof/>
          </w:rPr>
          <w:fldChar w:fldCharType="end"/>
        </w:r>
      </w:p>
    </w:sdtContent>
  </w:sdt>
  <w:p w14:paraId="44AA5123" w14:textId="77777777" w:rsidR="00061620" w:rsidRDefault="000616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83343" w14:textId="77777777" w:rsidR="00061620" w:rsidRDefault="00061620" w:rsidP="006D0C96">
      <w:pPr>
        <w:spacing w:line="240" w:lineRule="auto"/>
      </w:pPr>
      <w:r>
        <w:separator/>
      </w:r>
    </w:p>
  </w:footnote>
  <w:footnote w:type="continuationSeparator" w:id="0">
    <w:p w14:paraId="04284BD1" w14:textId="77777777" w:rsidR="00061620" w:rsidRDefault="00061620" w:rsidP="006D0C96">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94403"/>
    <w:multiLevelType w:val="hybridMultilevel"/>
    <w:tmpl w:val="E6ECA0A2"/>
    <w:lvl w:ilvl="0" w:tplc="35A460C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621EB8"/>
    <w:multiLevelType w:val="hybridMultilevel"/>
    <w:tmpl w:val="B3626938"/>
    <w:lvl w:ilvl="0" w:tplc="F29A847E">
      <w:start w:val="1"/>
      <w:numFmt w:val="bullet"/>
      <w:pStyle w:val="Bullets"/>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7227339"/>
    <w:multiLevelType w:val="hybridMultilevel"/>
    <w:tmpl w:val="5A8617EE"/>
    <w:lvl w:ilvl="0" w:tplc="236A18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064644"/>
    <w:multiLevelType w:val="multilevel"/>
    <w:tmpl w:val="5A8617E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activeWritingStyle w:appName="MSWord" w:lang="en-GB" w:vendorID="64" w:dllVersion="131078" w:nlCheck="1" w:checkStyle="1"/>
  <w:attachedTemplate r:id="rId1"/>
  <w:defaultTabStop w:val="720"/>
  <w:characterSpacingControl w:val="doNotCompress"/>
  <w:hdrShapeDefaults>
    <o:shapedefaults v:ext="edit" spidmax="208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213"/>
    <w:rsid w:val="0005690A"/>
    <w:rsid w:val="00061620"/>
    <w:rsid w:val="00072A90"/>
    <w:rsid w:val="00075F28"/>
    <w:rsid w:val="0008209B"/>
    <w:rsid w:val="000A01E6"/>
    <w:rsid w:val="000A1B66"/>
    <w:rsid w:val="000B00B5"/>
    <w:rsid w:val="000B7191"/>
    <w:rsid w:val="000C3A9F"/>
    <w:rsid w:val="00185F26"/>
    <w:rsid w:val="001C5EB9"/>
    <w:rsid w:val="00203F92"/>
    <w:rsid w:val="00216223"/>
    <w:rsid w:val="00220CA1"/>
    <w:rsid w:val="00263D3D"/>
    <w:rsid w:val="00266524"/>
    <w:rsid w:val="00266F7F"/>
    <w:rsid w:val="002864A9"/>
    <w:rsid w:val="002C76F4"/>
    <w:rsid w:val="002D13D0"/>
    <w:rsid w:val="002D6ED6"/>
    <w:rsid w:val="002D7ECA"/>
    <w:rsid w:val="0030604E"/>
    <w:rsid w:val="003118C8"/>
    <w:rsid w:val="0038557A"/>
    <w:rsid w:val="003A1D9E"/>
    <w:rsid w:val="003A4FB4"/>
    <w:rsid w:val="003D5288"/>
    <w:rsid w:val="00433D1C"/>
    <w:rsid w:val="004372F9"/>
    <w:rsid w:val="00450DB9"/>
    <w:rsid w:val="00463568"/>
    <w:rsid w:val="004C4260"/>
    <w:rsid w:val="004D0F1A"/>
    <w:rsid w:val="004E303D"/>
    <w:rsid w:val="004F4996"/>
    <w:rsid w:val="0055217B"/>
    <w:rsid w:val="00564213"/>
    <w:rsid w:val="00591C88"/>
    <w:rsid w:val="005A4F32"/>
    <w:rsid w:val="005B69E6"/>
    <w:rsid w:val="005E3DC5"/>
    <w:rsid w:val="006014D2"/>
    <w:rsid w:val="006326D7"/>
    <w:rsid w:val="00665CC1"/>
    <w:rsid w:val="00670F05"/>
    <w:rsid w:val="006A4E54"/>
    <w:rsid w:val="006A52B2"/>
    <w:rsid w:val="006D0C96"/>
    <w:rsid w:val="006D280C"/>
    <w:rsid w:val="006F44B2"/>
    <w:rsid w:val="0070537F"/>
    <w:rsid w:val="007117B6"/>
    <w:rsid w:val="00725638"/>
    <w:rsid w:val="007501F4"/>
    <w:rsid w:val="00751A44"/>
    <w:rsid w:val="00780E54"/>
    <w:rsid w:val="00796A7F"/>
    <w:rsid w:val="007A28C2"/>
    <w:rsid w:val="007A3375"/>
    <w:rsid w:val="007B0A42"/>
    <w:rsid w:val="007C03C2"/>
    <w:rsid w:val="007F6CA3"/>
    <w:rsid w:val="00803A35"/>
    <w:rsid w:val="00855006"/>
    <w:rsid w:val="008B719F"/>
    <w:rsid w:val="008C353B"/>
    <w:rsid w:val="008C64C9"/>
    <w:rsid w:val="008E213F"/>
    <w:rsid w:val="008E3110"/>
    <w:rsid w:val="008E40AC"/>
    <w:rsid w:val="009150E4"/>
    <w:rsid w:val="0091791F"/>
    <w:rsid w:val="00932A3A"/>
    <w:rsid w:val="00932F15"/>
    <w:rsid w:val="00943440"/>
    <w:rsid w:val="00991205"/>
    <w:rsid w:val="009944E9"/>
    <w:rsid w:val="009A7A75"/>
    <w:rsid w:val="009D2A1D"/>
    <w:rsid w:val="009D38E2"/>
    <w:rsid w:val="009E3C6C"/>
    <w:rsid w:val="009F2C0A"/>
    <w:rsid w:val="00A40F6E"/>
    <w:rsid w:val="00A46E46"/>
    <w:rsid w:val="00A47F8D"/>
    <w:rsid w:val="00A50563"/>
    <w:rsid w:val="00A63075"/>
    <w:rsid w:val="00A71DFC"/>
    <w:rsid w:val="00AD6FBD"/>
    <w:rsid w:val="00AE4157"/>
    <w:rsid w:val="00AE7A1C"/>
    <w:rsid w:val="00AF2A07"/>
    <w:rsid w:val="00AF432D"/>
    <w:rsid w:val="00B00977"/>
    <w:rsid w:val="00B11AE1"/>
    <w:rsid w:val="00B168B1"/>
    <w:rsid w:val="00B20F94"/>
    <w:rsid w:val="00B4015F"/>
    <w:rsid w:val="00B5719D"/>
    <w:rsid w:val="00B75342"/>
    <w:rsid w:val="00B94A58"/>
    <w:rsid w:val="00BD0523"/>
    <w:rsid w:val="00BF0DBC"/>
    <w:rsid w:val="00C1589F"/>
    <w:rsid w:val="00C26311"/>
    <w:rsid w:val="00C35812"/>
    <w:rsid w:val="00C55DD7"/>
    <w:rsid w:val="00C62480"/>
    <w:rsid w:val="00C82F79"/>
    <w:rsid w:val="00CB016E"/>
    <w:rsid w:val="00CC51D0"/>
    <w:rsid w:val="00CD4735"/>
    <w:rsid w:val="00CE0B96"/>
    <w:rsid w:val="00CE1321"/>
    <w:rsid w:val="00D11DAA"/>
    <w:rsid w:val="00D1657D"/>
    <w:rsid w:val="00D40CE0"/>
    <w:rsid w:val="00DB4E53"/>
    <w:rsid w:val="00DB6C52"/>
    <w:rsid w:val="00DF77BA"/>
    <w:rsid w:val="00E00339"/>
    <w:rsid w:val="00E142A8"/>
    <w:rsid w:val="00E35C50"/>
    <w:rsid w:val="00E437EB"/>
    <w:rsid w:val="00E861A5"/>
    <w:rsid w:val="00E93341"/>
    <w:rsid w:val="00EB04A2"/>
    <w:rsid w:val="00ED6B96"/>
    <w:rsid w:val="00EE090D"/>
    <w:rsid w:val="00EE58C0"/>
    <w:rsid w:val="00EE66EA"/>
    <w:rsid w:val="00F35903"/>
    <w:rsid w:val="00F512A5"/>
    <w:rsid w:val="00F5258E"/>
    <w:rsid w:val="00F64C9C"/>
    <w:rsid w:val="00F94D55"/>
    <w:rsid w:val="00FA3E3E"/>
    <w:rsid w:val="00FB0E08"/>
    <w:rsid w:val="00FC65B9"/>
    <w:rsid w:val="00FD4C33"/>
    <w:rsid w:val="00FF2060"/>
    <w:rsid w:val="00FF30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6"/>
    <o:shapelayout v:ext="edit">
      <o:idmap v:ext="edit" data="2"/>
    </o:shapelayout>
  </w:shapeDefaults>
  <w:decimalSymbol w:val="."/>
  <w:listSeparator w:val=","/>
  <w14:docId w14:val="75DB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endnote reference" w:uiPriority="0"/>
    <w:lsdException w:name="endnote text" w:uiPriority="0"/>
    <w:lsdException w:name="Title" w:semiHidden="0" w:uiPriority="10" w:unhideWhenUsed="0"/>
    <w:lsdException w:name="Default Paragraph Font" w:uiPriority="1"/>
    <w:lsdException w:name="Body Text" w:uiPriority="1" w:qFormat="1"/>
    <w:lsdException w:name="Subtitle" w:semiHidden="0" w:uiPriority="11" w:unhideWhenUsed="0"/>
    <w:lsdException w:name="Hyperlink" w:uiPriority="0"/>
    <w:lsdException w:name="Strong" w:semiHidden="0" w:uiPriority="22" w:unhideWhenUsed="0"/>
    <w:lsdException w:name="Emphasis" w:semiHidden="0" w:uiPriority="20" w:unhideWhenUsed="0"/>
    <w:lsdException w:name="No Lis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40CE0"/>
    <w:pPr>
      <w:spacing w:line="360" w:lineRule="auto"/>
      <w:jc w:val="both"/>
    </w:pPr>
    <w:rPr>
      <w:rFonts w:ascii="Times New Roman" w:eastAsia="Times New Roman" w:hAnsi="Times New Roman"/>
      <w:szCs w:val="24"/>
      <w:lang w:eastAsia="de-DE"/>
    </w:rPr>
  </w:style>
  <w:style w:type="paragraph" w:styleId="Heading1">
    <w:name w:val="heading 1"/>
    <w:basedOn w:val="Normal"/>
    <w:next w:val="Normal"/>
    <w:link w:val="Heading1Char"/>
    <w:qFormat/>
    <w:rsid w:val="00075F28"/>
    <w:pPr>
      <w:keepNext/>
      <w:spacing w:before="480" w:after="240" w:line="240" w:lineRule="auto"/>
      <w:outlineLvl w:val="0"/>
    </w:pPr>
    <w:rPr>
      <w:rFonts w:cs="Arial"/>
      <w:b/>
      <w:bCs/>
      <w:color w:val="000000"/>
      <w:kern w:val="32"/>
      <w:szCs w:val="32"/>
    </w:rPr>
  </w:style>
  <w:style w:type="paragraph" w:styleId="Heading2">
    <w:name w:val="heading 2"/>
    <w:basedOn w:val="Normal"/>
    <w:next w:val="Normal"/>
    <w:link w:val="Heading2Char"/>
    <w:qFormat/>
    <w:rsid w:val="00E00339"/>
    <w:pPr>
      <w:keepNext/>
      <w:spacing w:before="240" w:after="240" w:line="240" w:lineRule="auto"/>
      <w:outlineLvl w:val="1"/>
    </w:pPr>
    <w:rPr>
      <w:rFonts w:cs="Arial"/>
      <w:b/>
      <w:bCs/>
      <w:iCs/>
      <w:szCs w:val="28"/>
    </w:rPr>
  </w:style>
  <w:style w:type="paragraph" w:styleId="Heading3">
    <w:name w:val="heading 3"/>
    <w:basedOn w:val="Normal"/>
    <w:next w:val="Normal"/>
    <w:link w:val="Heading3Char"/>
    <w:qFormat/>
    <w:rsid w:val="005A4F32"/>
    <w:pPr>
      <w:keepNext/>
      <w:spacing w:before="240" w:after="240" w:line="240" w:lineRule="auto"/>
      <w:outlineLvl w:val="2"/>
    </w:pPr>
    <w:rPr>
      <w:rFonts w:cs="Arial"/>
      <w:b/>
      <w:bCs/>
      <w:szCs w:val="26"/>
    </w:rPr>
  </w:style>
  <w:style w:type="paragraph" w:styleId="Heading4">
    <w:name w:val="heading 4"/>
    <w:basedOn w:val="Normal"/>
    <w:next w:val="Normal"/>
    <w:link w:val="Heading4Char"/>
    <w:rsid w:val="00ED6B96"/>
    <w:pPr>
      <w:keepNext/>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treff">
    <w:name w:val="Betreff"/>
    <w:basedOn w:val="Normal"/>
    <w:next w:val="Normal"/>
    <w:rsid w:val="00ED6B96"/>
    <w:rPr>
      <w:b/>
    </w:rPr>
  </w:style>
  <w:style w:type="paragraph" w:customStyle="1" w:styleId="Bullets">
    <w:name w:val="Bullets"/>
    <w:basedOn w:val="Normal"/>
    <w:link w:val="BulletsChar"/>
    <w:rsid w:val="00ED6B96"/>
    <w:pPr>
      <w:numPr>
        <w:numId w:val="2"/>
      </w:numPr>
    </w:pPr>
  </w:style>
  <w:style w:type="character" w:customStyle="1" w:styleId="BulletsChar">
    <w:name w:val="Bullets Char"/>
    <w:link w:val="Bullets"/>
    <w:rsid w:val="00ED6B96"/>
    <w:rPr>
      <w:rFonts w:ascii="Verdana" w:eastAsia="Times New Roman" w:hAnsi="Verdana" w:cs="Times New Roman"/>
      <w:sz w:val="19"/>
      <w:szCs w:val="24"/>
      <w:lang w:eastAsia="de-DE"/>
    </w:rPr>
  </w:style>
  <w:style w:type="table" w:customStyle="1" w:styleId="Copernicus">
    <w:name w:val="Copernicus"/>
    <w:basedOn w:val="TableNormal"/>
    <w:rsid w:val="00ED6B96"/>
    <w:rPr>
      <w:rFonts w:ascii="Verdana" w:eastAsia="Times New Roman" w:hAnsi="Verdana"/>
      <w:sz w:val="19"/>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cPr>
      <w:shd w:val="clear" w:color="auto" w:fill="auto"/>
      <w:vAlign w:val="center"/>
    </w:tcPr>
    <w:tblStylePr w:type="firstRow">
      <w:pPr>
        <w:jc w:val="left"/>
      </w:pPr>
      <w:rPr>
        <w:rFonts w:ascii="Verdana" w:hAnsi="Verdana"/>
        <w:b/>
        <w:i w:val="0"/>
        <w:sz w:val="19"/>
      </w:rPr>
      <w:tblPr/>
      <w:tcPr>
        <w:shd w:val="clear" w:color="auto" w:fill="BFBFBF"/>
      </w:tcPr>
    </w:tblStylePr>
    <w:tblStylePr w:type="lastRow">
      <w:pPr>
        <w:jc w:val="left"/>
      </w:pPr>
      <w:rPr>
        <w:rFonts w:ascii="Verdana" w:hAnsi="Verdana"/>
        <w:sz w:val="19"/>
      </w:rPr>
    </w:tblStylePr>
    <w:tblStylePr w:type="firstCol">
      <w:rPr>
        <w:rFonts w:ascii="Verdana" w:hAnsi="Verdana"/>
        <w:sz w:val="19"/>
      </w:rPr>
    </w:tblStylePr>
    <w:tblStylePr w:type="lastCol">
      <w:rPr>
        <w:rFonts w:ascii="Verdana" w:hAnsi="Verdana"/>
        <w:sz w:val="19"/>
      </w:r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cBorders>
      </w:tcPr>
    </w:tblStylePr>
  </w:style>
  <w:style w:type="paragraph" w:styleId="Header">
    <w:name w:val="header"/>
    <w:basedOn w:val="Normal"/>
    <w:link w:val="HeaderChar"/>
    <w:rsid w:val="00ED6B96"/>
    <w:pPr>
      <w:tabs>
        <w:tab w:val="center" w:pos="4536"/>
        <w:tab w:val="right" w:pos="9072"/>
      </w:tabs>
    </w:pPr>
  </w:style>
  <w:style w:type="character" w:customStyle="1" w:styleId="Heading1Char">
    <w:name w:val="Heading 1 Char"/>
    <w:link w:val="Heading1"/>
    <w:rsid w:val="00075F28"/>
    <w:rPr>
      <w:rFonts w:ascii="Times New Roman" w:eastAsia="Times New Roman" w:hAnsi="Times New Roman" w:cs="Arial"/>
      <w:b/>
      <w:bCs/>
      <w:color w:val="000000"/>
      <w:kern w:val="32"/>
      <w:szCs w:val="32"/>
      <w:lang w:eastAsia="de-DE"/>
    </w:rPr>
  </w:style>
  <w:style w:type="character" w:customStyle="1" w:styleId="Heading3Char">
    <w:name w:val="Heading 3 Char"/>
    <w:link w:val="Heading3"/>
    <w:rsid w:val="005A4F32"/>
    <w:rPr>
      <w:rFonts w:ascii="Times New Roman" w:eastAsia="Times New Roman" w:hAnsi="Times New Roman" w:cs="Arial"/>
      <w:b/>
      <w:bCs/>
      <w:szCs w:val="26"/>
      <w:lang w:eastAsia="de-DE"/>
    </w:rPr>
  </w:style>
  <w:style w:type="character" w:customStyle="1" w:styleId="Heading4Char">
    <w:name w:val="Heading 4 Char"/>
    <w:link w:val="Heading4"/>
    <w:rsid w:val="00796A7F"/>
    <w:rPr>
      <w:rFonts w:ascii="Verdana" w:eastAsia="Times New Roman" w:hAnsi="Verdana" w:cs="Times New Roman"/>
      <w:b/>
      <w:bCs/>
      <w:sz w:val="19"/>
      <w:szCs w:val="28"/>
      <w:lang w:eastAsia="de-DE"/>
    </w:rPr>
  </w:style>
  <w:style w:type="character" w:customStyle="1" w:styleId="HeaderChar">
    <w:name w:val="Header Char"/>
    <w:link w:val="Header"/>
    <w:rsid w:val="00ED6B96"/>
    <w:rPr>
      <w:rFonts w:ascii="Verdana" w:eastAsia="Times New Roman" w:hAnsi="Verdana" w:cs="Times New Roman"/>
      <w:sz w:val="19"/>
      <w:szCs w:val="24"/>
      <w:lang w:eastAsia="de-DE"/>
    </w:rPr>
  </w:style>
  <w:style w:type="character" w:customStyle="1" w:styleId="Heading2Char">
    <w:name w:val="Heading 2 Char"/>
    <w:link w:val="Heading2"/>
    <w:rsid w:val="00E00339"/>
    <w:rPr>
      <w:rFonts w:ascii="Times New Roman" w:eastAsia="Times New Roman" w:hAnsi="Times New Roman" w:cs="Arial"/>
      <w:b/>
      <w:bCs/>
      <w:iCs/>
      <w:szCs w:val="28"/>
      <w:lang w:eastAsia="de-DE"/>
    </w:rPr>
  </w:style>
  <w:style w:type="character" w:styleId="Hyperlink">
    <w:name w:val="Hyperlink"/>
    <w:rsid w:val="00ED6B96"/>
    <w:rPr>
      <w:color w:val="0000FF"/>
      <w:u w:val="single"/>
    </w:rPr>
  </w:style>
  <w:style w:type="paragraph" w:customStyle="1" w:styleId="Kontakt">
    <w:name w:val="Kontakt"/>
    <w:basedOn w:val="Normal"/>
    <w:rsid w:val="00ED6B96"/>
    <w:pPr>
      <w:spacing w:line="160" w:lineRule="exact"/>
    </w:pPr>
    <w:rPr>
      <w:color w:val="808080"/>
      <w:sz w:val="13"/>
    </w:rPr>
  </w:style>
  <w:style w:type="paragraph" w:customStyle="1" w:styleId="Name">
    <w:name w:val="Name"/>
    <w:basedOn w:val="Normal"/>
    <w:rsid w:val="00ED6B96"/>
    <w:pPr>
      <w:spacing w:before="160" w:after="80"/>
    </w:pPr>
    <w:rPr>
      <w:rFonts w:ascii="Book Antiqua" w:hAnsi="Book Antiqua"/>
      <w:color w:val="808080"/>
      <w:sz w:val="22"/>
    </w:rPr>
  </w:style>
  <w:style w:type="paragraph" w:customStyle="1" w:styleId="CopernicusWordtemplate">
    <w:name w:val="Copernicus_Word_template"/>
    <w:basedOn w:val="Normal"/>
    <w:link w:val="CopernicusWordtemplateChar"/>
    <w:rsid w:val="00B5719D"/>
  </w:style>
  <w:style w:type="character" w:customStyle="1" w:styleId="CopernicusWordtemplateChar">
    <w:name w:val="Copernicus_Word_template Char"/>
    <w:basedOn w:val="DefaultParagraphFont"/>
    <w:link w:val="CopernicusWordtemplate"/>
    <w:rsid w:val="00B5719D"/>
    <w:rPr>
      <w:rFonts w:ascii="Times New Roman" w:eastAsia="Times New Roman" w:hAnsi="Times New Roman"/>
      <w:sz w:val="24"/>
      <w:szCs w:val="24"/>
      <w:lang w:eastAsia="de-DE"/>
    </w:rPr>
  </w:style>
  <w:style w:type="character" w:styleId="LineNumber">
    <w:name w:val="line number"/>
    <w:basedOn w:val="DefaultParagraphFont"/>
    <w:unhideWhenUsed/>
    <w:rsid w:val="00D40CE0"/>
  </w:style>
  <w:style w:type="paragraph" w:customStyle="1" w:styleId="MStitle">
    <w:name w:val="MS title"/>
    <w:basedOn w:val="Normal"/>
    <w:link w:val="MStitleChar"/>
    <w:qFormat/>
    <w:rsid w:val="0091791F"/>
    <w:pPr>
      <w:spacing w:before="360" w:line="440" w:lineRule="exact"/>
      <w:contextualSpacing/>
    </w:pPr>
    <w:rPr>
      <w:b/>
      <w:sz w:val="34"/>
    </w:rPr>
  </w:style>
  <w:style w:type="paragraph" w:styleId="ListParagraph">
    <w:name w:val="List Paragraph"/>
    <w:basedOn w:val="Normal"/>
    <w:uiPriority w:val="34"/>
    <w:rsid w:val="00B4015F"/>
    <w:pPr>
      <w:ind w:left="720"/>
      <w:contextualSpacing/>
    </w:pPr>
  </w:style>
  <w:style w:type="character" w:customStyle="1" w:styleId="MStitleChar">
    <w:name w:val="MS title Char"/>
    <w:basedOn w:val="DefaultParagraphFont"/>
    <w:link w:val="MStitle"/>
    <w:rsid w:val="0091791F"/>
    <w:rPr>
      <w:rFonts w:ascii="Times New Roman" w:eastAsia="Times New Roman" w:hAnsi="Times New Roman"/>
      <w:b/>
      <w:sz w:val="34"/>
      <w:szCs w:val="24"/>
      <w:lang w:eastAsia="de-DE"/>
    </w:rPr>
  </w:style>
  <w:style w:type="paragraph" w:customStyle="1" w:styleId="Affiliation">
    <w:name w:val="Affiliation"/>
    <w:basedOn w:val="Normal"/>
    <w:link w:val="AffiliationChar"/>
    <w:qFormat/>
    <w:rsid w:val="00450DB9"/>
    <w:pPr>
      <w:spacing w:before="120" w:line="240" w:lineRule="auto"/>
      <w:contextualSpacing/>
    </w:pPr>
  </w:style>
  <w:style w:type="character" w:styleId="PlaceholderText">
    <w:name w:val="Placeholder Text"/>
    <w:basedOn w:val="DefaultParagraphFont"/>
    <w:uiPriority w:val="99"/>
    <w:semiHidden/>
    <w:rsid w:val="003D5288"/>
    <w:rPr>
      <w:color w:val="808080"/>
    </w:rPr>
  </w:style>
  <w:style w:type="character" w:customStyle="1" w:styleId="AffiliationChar">
    <w:name w:val="Affiliation Char"/>
    <w:basedOn w:val="DefaultParagraphFont"/>
    <w:link w:val="Affiliation"/>
    <w:rsid w:val="00450DB9"/>
    <w:rPr>
      <w:rFonts w:ascii="Times New Roman" w:eastAsia="Times New Roman" w:hAnsi="Times New Roman"/>
      <w:szCs w:val="24"/>
      <w:lang w:eastAsia="de-DE"/>
    </w:rPr>
  </w:style>
  <w:style w:type="paragraph" w:styleId="BalloonText">
    <w:name w:val="Balloon Text"/>
    <w:basedOn w:val="Normal"/>
    <w:link w:val="BalloonTextChar"/>
    <w:unhideWhenUsed/>
    <w:rsid w:val="003D528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D5288"/>
    <w:rPr>
      <w:rFonts w:ascii="Tahoma" w:eastAsia="Times New Roman" w:hAnsi="Tahoma" w:cs="Tahoma"/>
      <w:sz w:val="16"/>
      <w:szCs w:val="16"/>
      <w:lang w:eastAsia="de-DE"/>
    </w:rPr>
  </w:style>
  <w:style w:type="paragraph" w:customStyle="1" w:styleId="Equation">
    <w:name w:val="Equation"/>
    <w:basedOn w:val="Normal"/>
    <w:link w:val="EquationChar"/>
    <w:rsid w:val="00C35812"/>
    <w:pPr>
      <w:spacing w:before="120" w:after="120"/>
    </w:pPr>
    <w:rPr>
      <w:rFonts w:ascii="Cambria Math" w:hAnsi="Cambria Math"/>
    </w:rPr>
  </w:style>
  <w:style w:type="paragraph" w:styleId="Caption">
    <w:name w:val="caption"/>
    <w:basedOn w:val="Normal"/>
    <w:next w:val="Normal"/>
    <w:uiPriority w:val="35"/>
    <w:unhideWhenUsed/>
    <w:qFormat/>
    <w:rsid w:val="003A4FB4"/>
    <w:pPr>
      <w:spacing w:after="200" w:line="240" w:lineRule="auto"/>
    </w:pPr>
    <w:rPr>
      <w:b/>
      <w:bCs/>
      <w:sz w:val="18"/>
      <w:szCs w:val="18"/>
    </w:rPr>
  </w:style>
  <w:style w:type="character" w:customStyle="1" w:styleId="EquationChar">
    <w:name w:val="Equation Char"/>
    <w:basedOn w:val="DefaultParagraphFont"/>
    <w:link w:val="Equation"/>
    <w:rsid w:val="00C35812"/>
    <w:rPr>
      <w:rFonts w:ascii="Cambria Math" w:eastAsia="Times New Roman" w:hAnsi="Cambria Math"/>
      <w:szCs w:val="24"/>
      <w:lang w:eastAsia="de-DE"/>
    </w:rPr>
  </w:style>
  <w:style w:type="paragraph" w:styleId="Footer">
    <w:name w:val="footer"/>
    <w:basedOn w:val="Normal"/>
    <w:link w:val="FooterChar"/>
    <w:uiPriority w:val="99"/>
    <w:unhideWhenUsed/>
    <w:rsid w:val="006D0C96"/>
    <w:pPr>
      <w:tabs>
        <w:tab w:val="center" w:pos="4513"/>
        <w:tab w:val="right" w:pos="9026"/>
      </w:tabs>
      <w:spacing w:line="240" w:lineRule="auto"/>
    </w:pPr>
  </w:style>
  <w:style w:type="character" w:customStyle="1" w:styleId="FooterChar">
    <w:name w:val="Footer Char"/>
    <w:basedOn w:val="DefaultParagraphFont"/>
    <w:link w:val="Footer"/>
    <w:uiPriority w:val="99"/>
    <w:rsid w:val="006D0C96"/>
    <w:rPr>
      <w:rFonts w:ascii="Times New Roman" w:eastAsia="Times New Roman" w:hAnsi="Times New Roman"/>
      <w:szCs w:val="24"/>
      <w:lang w:eastAsia="de-DE"/>
    </w:rPr>
  </w:style>
  <w:style w:type="paragraph" w:customStyle="1" w:styleId="Correspondence">
    <w:name w:val="Correspondence"/>
    <w:basedOn w:val="Normal"/>
    <w:link w:val="CorrespondenceChar"/>
    <w:qFormat/>
    <w:rsid w:val="008E213F"/>
    <w:pPr>
      <w:spacing w:before="120" w:after="360" w:line="240" w:lineRule="auto"/>
    </w:pPr>
  </w:style>
  <w:style w:type="character" w:customStyle="1" w:styleId="CorrespondenceChar">
    <w:name w:val="Correspondence Char"/>
    <w:basedOn w:val="DefaultParagraphFont"/>
    <w:link w:val="Correspondence"/>
    <w:rsid w:val="008E213F"/>
    <w:rPr>
      <w:rFonts w:ascii="Times New Roman" w:eastAsia="Times New Roman" w:hAnsi="Times New Roman"/>
      <w:szCs w:val="24"/>
      <w:lang w:eastAsia="de-DE"/>
    </w:rPr>
  </w:style>
  <w:style w:type="paragraph" w:customStyle="1" w:styleId="Authors">
    <w:name w:val="Authors"/>
    <w:basedOn w:val="Normal"/>
    <w:link w:val="AuthorsChar"/>
    <w:qFormat/>
    <w:rsid w:val="00BD0523"/>
    <w:pPr>
      <w:spacing w:before="180" w:line="240" w:lineRule="auto"/>
      <w:contextualSpacing/>
    </w:pPr>
    <w:rPr>
      <w:sz w:val="24"/>
    </w:rPr>
  </w:style>
  <w:style w:type="character" w:customStyle="1" w:styleId="AuthorsChar">
    <w:name w:val="Authors Char"/>
    <w:basedOn w:val="DefaultParagraphFont"/>
    <w:link w:val="Authors"/>
    <w:rsid w:val="00BD0523"/>
    <w:rPr>
      <w:rFonts w:ascii="Times New Roman" w:eastAsia="Times New Roman" w:hAnsi="Times New Roman"/>
      <w:sz w:val="24"/>
      <w:szCs w:val="24"/>
      <w:lang w:eastAsia="de-DE"/>
    </w:rPr>
  </w:style>
  <w:style w:type="paragraph" w:customStyle="1" w:styleId="Times1213J">
    <w:name w:val="Times/12/13/J"/>
    <w:basedOn w:val="Normal"/>
    <w:qFormat/>
    <w:rsid w:val="00E437EB"/>
    <w:pPr>
      <w:spacing w:line="260" w:lineRule="exact"/>
    </w:pPr>
    <w:rPr>
      <w:rFonts w:ascii="Times" w:eastAsia="Cambria" w:hAnsi="Times"/>
      <w:sz w:val="24"/>
      <w:lang w:val="en-US" w:eastAsia="en-US"/>
    </w:rPr>
  </w:style>
  <w:style w:type="paragraph" w:customStyle="1" w:styleId="Times1215J">
    <w:name w:val="Times12/15/J"/>
    <w:basedOn w:val="Times1213J"/>
    <w:qFormat/>
    <w:rsid w:val="00E437EB"/>
    <w:pPr>
      <w:spacing w:before="200" w:line="300" w:lineRule="exact"/>
    </w:pPr>
    <w:rPr>
      <w:rFonts w:eastAsia="Times New Roman"/>
      <w:color w:val="000000"/>
      <w:szCs w:val="20"/>
    </w:rPr>
  </w:style>
  <w:style w:type="paragraph" w:customStyle="1" w:styleId="text">
    <w:name w:val="text"/>
    <w:basedOn w:val="ACPnormal"/>
    <w:rsid w:val="00E437EB"/>
    <w:pPr>
      <w:spacing w:before="180" w:line="360" w:lineRule="exact"/>
    </w:pPr>
    <w:rPr>
      <w:rFonts w:cs="Times"/>
    </w:rPr>
  </w:style>
  <w:style w:type="paragraph" w:customStyle="1" w:styleId="title">
    <w:name w:val="title"/>
    <w:basedOn w:val="text"/>
    <w:rsid w:val="00E437EB"/>
    <w:pPr>
      <w:spacing w:before="0"/>
      <w:jc w:val="center"/>
    </w:pPr>
    <w:rPr>
      <w:b/>
      <w:sz w:val="32"/>
    </w:rPr>
  </w:style>
  <w:style w:type="paragraph" w:customStyle="1" w:styleId="author">
    <w:name w:val="author"/>
    <w:basedOn w:val="Normal"/>
    <w:rsid w:val="00E437EB"/>
    <w:pPr>
      <w:spacing w:before="160" w:line="240" w:lineRule="auto"/>
      <w:jc w:val="center"/>
    </w:pPr>
    <w:rPr>
      <w:rFonts w:ascii="Times" w:hAnsi="Times" w:cs="Times"/>
      <w:b/>
      <w:sz w:val="28"/>
      <w:szCs w:val="20"/>
      <w:lang w:val="en-US" w:eastAsia="en-US"/>
    </w:rPr>
  </w:style>
  <w:style w:type="paragraph" w:customStyle="1" w:styleId="date">
    <w:name w:val="date"/>
    <w:basedOn w:val="Normal"/>
    <w:rsid w:val="00E437EB"/>
    <w:pPr>
      <w:spacing w:before="300" w:line="240" w:lineRule="auto"/>
      <w:jc w:val="center"/>
    </w:pPr>
    <w:rPr>
      <w:rFonts w:ascii="Times" w:hAnsi="Times" w:cs="Times"/>
      <w:sz w:val="24"/>
      <w:szCs w:val="20"/>
      <w:lang w:val="en-US" w:eastAsia="en-US"/>
    </w:rPr>
  </w:style>
  <w:style w:type="paragraph" w:customStyle="1" w:styleId="fig">
    <w:name w:val="fig"/>
    <w:basedOn w:val="Normal"/>
    <w:rsid w:val="00E437EB"/>
    <w:pPr>
      <w:keepNext/>
      <w:spacing w:before="240" w:line="240" w:lineRule="auto"/>
      <w:jc w:val="center"/>
    </w:pPr>
    <w:rPr>
      <w:rFonts w:ascii="Times" w:hAnsi="Times" w:cs="Times"/>
      <w:sz w:val="24"/>
      <w:szCs w:val="20"/>
      <w:lang w:val="en-US" w:eastAsia="en-US"/>
    </w:rPr>
  </w:style>
  <w:style w:type="paragraph" w:customStyle="1" w:styleId="Caption1">
    <w:name w:val="Caption1"/>
    <w:basedOn w:val="Normal"/>
    <w:rsid w:val="00E437EB"/>
    <w:pPr>
      <w:keepLines/>
      <w:spacing w:before="200" w:line="260" w:lineRule="exact"/>
      <w:ind w:left="360" w:right="360"/>
    </w:pPr>
    <w:rPr>
      <w:rFonts w:ascii="Times" w:hAnsi="Times" w:cs="Times"/>
      <w:sz w:val="24"/>
      <w:szCs w:val="20"/>
      <w:lang w:val="en-US" w:eastAsia="en-US"/>
    </w:rPr>
  </w:style>
  <w:style w:type="paragraph" w:customStyle="1" w:styleId="eqn">
    <w:name w:val="eqn"/>
    <w:basedOn w:val="Normal"/>
    <w:rsid w:val="007C03C2"/>
    <w:pPr>
      <w:tabs>
        <w:tab w:val="right" w:pos="10080"/>
      </w:tabs>
      <w:spacing w:before="240" w:line="240" w:lineRule="auto"/>
      <w:jc w:val="left"/>
    </w:pPr>
    <w:rPr>
      <w:rFonts w:cs="Times"/>
      <w:szCs w:val="20"/>
      <w:lang w:val="en-US" w:eastAsia="en-US"/>
    </w:rPr>
  </w:style>
  <w:style w:type="paragraph" w:customStyle="1" w:styleId="FigFileName">
    <w:name w:val="FigFileName"/>
    <w:basedOn w:val="text"/>
    <w:qFormat/>
    <w:rsid w:val="00E437EB"/>
    <w:pPr>
      <w:keepNext/>
      <w:spacing w:before="0" w:line="140" w:lineRule="exact"/>
      <w:jc w:val="center"/>
    </w:pPr>
    <w:rPr>
      <w:rFonts w:ascii="Helvetica" w:hAnsi="Helvetica"/>
      <w:color w:val="000000"/>
      <w:sz w:val="14"/>
    </w:rPr>
  </w:style>
  <w:style w:type="paragraph" w:customStyle="1" w:styleId="FigureorTableCaption">
    <w:name w:val="Figure or Table Caption"/>
    <w:basedOn w:val="Normal"/>
    <w:rsid w:val="00E437EB"/>
    <w:pPr>
      <w:keepLines/>
      <w:spacing w:line="360" w:lineRule="exact"/>
      <w:ind w:left="274" w:right="274"/>
      <w:outlineLvl w:val="0"/>
    </w:pPr>
    <w:rPr>
      <w:rFonts w:ascii="Times" w:hAnsi="Times"/>
      <w:kern w:val="28"/>
      <w:sz w:val="24"/>
      <w:lang w:val="en-US" w:eastAsia="en-US"/>
    </w:rPr>
  </w:style>
  <w:style w:type="paragraph" w:customStyle="1" w:styleId="Heading-Secondary">
    <w:name w:val="Heading-Secondary"/>
    <w:basedOn w:val="Normal"/>
    <w:qFormat/>
    <w:rsid w:val="00E437EB"/>
    <w:pPr>
      <w:keepNext/>
      <w:spacing w:before="240" w:after="120" w:line="240" w:lineRule="auto"/>
      <w:ind w:left="270"/>
      <w:jc w:val="left"/>
      <w:outlineLvl w:val="0"/>
    </w:pPr>
    <w:rPr>
      <w:bCs/>
      <w:kern w:val="28"/>
      <w:sz w:val="24"/>
      <w:lang w:val="en-US" w:eastAsia="en-US"/>
    </w:rPr>
  </w:style>
  <w:style w:type="paragraph" w:customStyle="1" w:styleId="hdr">
    <w:name w:val="hdr"/>
    <w:basedOn w:val="text"/>
    <w:rsid w:val="00E437EB"/>
    <w:pPr>
      <w:keepNext/>
      <w:spacing w:before="360" w:line="280" w:lineRule="exact"/>
    </w:pPr>
    <w:rPr>
      <w:b/>
    </w:rPr>
  </w:style>
  <w:style w:type="paragraph" w:customStyle="1" w:styleId="Box">
    <w:name w:val="Box"/>
    <w:basedOn w:val="Normal"/>
    <w:qFormat/>
    <w:rsid w:val="00E437EB"/>
    <w:pPr>
      <w:spacing w:before="240" w:line="480" w:lineRule="auto"/>
    </w:pPr>
    <w:rPr>
      <w:rFonts w:ascii="Times" w:hAnsi="Times" w:cs="Times"/>
      <w:sz w:val="24"/>
      <w:szCs w:val="20"/>
      <w:lang w:val="en-US" w:eastAsia="en-US"/>
    </w:rPr>
  </w:style>
  <w:style w:type="paragraph" w:customStyle="1" w:styleId="BoxFig">
    <w:name w:val="BoxFig"/>
    <w:basedOn w:val="Normal"/>
    <w:qFormat/>
    <w:rsid w:val="00E437EB"/>
    <w:pPr>
      <w:keepNext/>
      <w:spacing w:before="240" w:line="240" w:lineRule="auto"/>
      <w:jc w:val="center"/>
    </w:pPr>
    <w:rPr>
      <w:rFonts w:ascii="Times" w:hAnsi="Times" w:cs="Times"/>
      <w:noProof/>
      <w:sz w:val="24"/>
      <w:szCs w:val="20"/>
      <w:lang w:val="en-US" w:eastAsia="en-US"/>
    </w:rPr>
  </w:style>
  <w:style w:type="paragraph" w:customStyle="1" w:styleId="BoxCaption">
    <w:name w:val="BoxCaption"/>
    <w:basedOn w:val="Normal"/>
    <w:qFormat/>
    <w:rsid w:val="00E437EB"/>
    <w:pPr>
      <w:keepLines/>
      <w:spacing w:line="480" w:lineRule="auto"/>
      <w:ind w:left="360" w:right="360"/>
    </w:pPr>
    <w:rPr>
      <w:rFonts w:ascii="Times" w:hAnsi="Times" w:cs="Times"/>
      <w:b/>
      <w:sz w:val="22"/>
      <w:szCs w:val="20"/>
      <w:lang w:val="en-US" w:eastAsia="en-US"/>
    </w:rPr>
  </w:style>
  <w:style w:type="paragraph" w:customStyle="1" w:styleId="reftimes1216">
    <w:name w:val="ref times 12/16"/>
    <w:basedOn w:val="Normal"/>
    <w:rsid w:val="00E437EB"/>
    <w:pPr>
      <w:spacing w:before="240" w:line="320" w:lineRule="exact"/>
      <w:ind w:left="540" w:hanging="540"/>
    </w:pPr>
    <w:rPr>
      <w:rFonts w:ascii="Times" w:hAnsi="Times" w:cs="Times"/>
      <w:sz w:val="24"/>
      <w:szCs w:val="20"/>
      <w:lang w:val="en-US" w:eastAsia="en-US"/>
    </w:rPr>
  </w:style>
  <w:style w:type="table" w:styleId="TableGrid">
    <w:name w:val="Table Grid"/>
    <w:basedOn w:val="TableNormal"/>
    <w:uiPriority w:val="59"/>
    <w:rsid w:val="00E437EB"/>
    <w:rPr>
      <w:rFonts w:ascii="Cambria" w:eastAsia="Cambria" w:hAnsi="Cambria"/>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E437EB"/>
  </w:style>
  <w:style w:type="paragraph" w:customStyle="1" w:styleId="RefF">
    <w:name w:val="RefF"/>
    <w:basedOn w:val="Normal"/>
    <w:qFormat/>
    <w:rsid w:val="00E437EB"/>
    <w:pPr>
      <w:tabs>
        <w:tab w:val="left" w:pos="540"/>
      </w:tabs>
      <w:spacing w:before="120" w:line="320" w:lineRule="exact"/>
      <w:ind w:left="360" w:hanging="360"/>
    </w:pPr>
    <w:rPr>
      <w:rFonts w:eastAsia="Times"/>
      <w:sz w:val="24"/>
      <w:lang w:val="en-US" w:eastAsia="en-US"/>
    </w:rPr>
  </w:style>
  <w:style w:type="paragraph" w:customStyle="1" w:styleId="RefsJGR">
    <w:name w:val="RefsJGR"/>
    <w:basedOn w:val="Normal"/>
    <w:qFormat/>
    <w:rsid w:val="00E437EB"/>
    <w:pPr>
      <w:widowControl w:val="0"/>
      <w:autoSpaceDE w:val="0"/>
      <w:autoSpaceDN w:val="0"/>
      <w:adjustRightInd w:val="0"/>
      <w:spacing w:after="120" w:line="240" w:lineRule="auto"/>
      <w:ind w:left="540" w:right="-720" w:hanging="540"/>
      <w:jc w:val="left"/>
    </w:pPr>
    <w:rPr>
      <w:rFonts w:ascii="Times" w:hAnsi="Times"/>
      <w:sz w:val="24"/>
      <w:szCs w:val="28"/>
      <w:lang w:val="en-US" w:eastAsia="ja-JP"/>
    </w:rPr>
  </w:style>
  <w:style w:type="paragraph" w:customStyle="1" w:styleId="jgrref">
    <w:name w:val="jgr_ref"/>
    <w:basedOn w:val="Normal"/>
    <w:qFormat/>
    <w:rsid w:val="00E437EB"/>
    <w:pPr>
      <w:keepLines/>
      <w:autoSpaceDE w:val="0"/>
      <w:autoSpaceDN w:val="0"/>
      <w:adjustRightInd w:val="0"/>
      <w:spacing w:before="200" w:line="300" w:lineRule="exact"/>
      <w:ind w:left="274" w:hanging="274"/>
    </w:pPr>
    <w:rPr>
      <w:rFonts w:ascii="Times" w:hAnsi="Times"/>
      <w:sz w:val="24"/>
      <w:szCs w:val="28"/>
      <w:lang w:val="en-US" w:eastAsia="ja-JP"/>
    </w:rPr>
  </w:style>
  <w:style w:type="paragraph" w:customStyle="1" w:styleId="TableEntry">
    <w:name w:val="TableEntry"/>
    <w:basedOn w:val="Normal"/>
    <w:qFormat/>
    <w:rsid w:val="00E437EB"/>
    <w:pPr>
      <w:spacing w:before="120" w:after="120" w:line="240" w:lineRule="exact"/>
      <w:jc w:val="right"/>
    </w:pPr>
    <w:rPr>
      <w:rFonts w:ascii="Times" w:eastAsia="Cambria" w:hAnsi="Times"/>
      <w:color w:val="000000"/>
      <w:sz w:val="24"/>
      <w:szCs w:val="20"/>
      <w:lang w:val="en-US" w:eastAsia="en-US"/>
    </w:rPr>
  </w:style>
  <w:style w:type="paragraph" w:customStyle="1" w:styleId="refjw">
    <w:name w:val="ref jw"/>
    <w:basedOn w:val="Normal"/>
    <w:qFormat/>
    <w:rsid w:val="00E437EB"/>
    <w:pPr>
      <w:autoSpaceDE w:val="0"/>
      <w:autoSpaceDN w:val="0"/>
      <w:adjustRightInd w:val="0"/>
      <w:spacing w:before="200" w:line="240" w:lineRule="auto"/>
      <w:ind w:left="547" w:right="-720" w:hanging="547"/>
    </w:pPr>
    <w:rPr>
      <w:rFonts w:ascii="Times" w:eastAsia="Calibri" w:hAnsi="Times"/>
      <w:sz w:val="24"/>
      <w:lang w:val="en-US" w:eastAsia="en-US"/>
    </w:rPr>
  </w:style>
  <w:style w:type="paragraph" w:styleId="HTMLPreformatted">
    <w:name w:val="HTML Preformatted"/>
    <w:basedOn w:val="Normal"/>
    <w:link w:val="HTMLPreformattedChar"/>
    <w:uiPriority w:val="99"/>
    <w:rsid w:val="00E4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w:eastAsia="Cambria" w:hAnsi="Courier" w:cs="Courier"/>
      <w:szCs w:val="20"/>
      <w:lang w:val="en-US" w:eastAsia="en-US"/>
    </w:rPr>
  </w:style>
  <w:style w:type="character" w:customStyle="1" w:styleId="HTMLPreformattedChar">
    <w:name w:val="HTML Preformatted Char"/>
    <w:basedOn w:val="DefaultParagraphFont"/>
    <w:link w:val="HTMLPreformatted"/>
    <w:uiPriority w:val="99"/>
    <w:rsid w:val="00E437EB"/>
    <w:rPr>
      <w:rFonts w:ascii="Courier" w:eastAsia="Cambria" w:hAnsi="Courier" w:cs="Courier"/>
      <w:lang w:val="en-US" w:eastAsia="en-US"/>
    </w:rPr>
  </w:style>
  <w:style w:type="paragraph" w:styleId="EndnoteText">
    <w:name w:val="endnote text"/>
    <w:basedOn w:val="Normal"/>
    <w:link w:val="EndnoteTextChar"/>
    <w:rsid w:val="00E437EB"/>
    <w:pPr>
      <w:spacing w:line="240" w:lineRule="auto"/>
      <w:jc w:val="left"/>
    </w:pPr>
    <w:rPr>
      <w:rFonts w:ascii="Courier" w:eastAsia="Cambria" w:hAnsi="Courier"/>
      <w:sz w:val="24"/>
      <w:lang w:val="en-US" w:eastAsia="en-US"/>
    </w:rPr>
  </w:style>
  <w:style w:type="character" w:customStyle="1" w:styleId="EndnoteTextChar">
    <w:name w:val="Endnote Text Char"/>
    <w:basedOn w:val="DefaultParagraphFont"/>
    <w:link w:val="EndnoteText"/>
    <w:rsid w:val="00E437EB"/>
    <w:rPr>
      <w:rFonts w:ascii="Courier" w:eastAsia="Cambria" w:hAnsi="Courier"/>
      <w:sz w:val="24"/>
      <w:szCs w:val="24"/>
      <w:lang w:val="en-US" w:eastAsia="en-US"/>
    </w:rPr>
  </w:style>
  <w:style w:type="character" w:styleId="EndnoteReference">
    <w:name w:val="endnote reference"/>
    <w:basedOn w:val="DefaultParagraphFont"/>
    <w:rsid w:val="00E437EB"/>
    <w:rPr>
      <w:vertAlign w:val="superscript"/>
    </w:rPr>
  </w:style>
  <w:style w:type="paragraph" w:styleId="BodyText">
    <w:name w:val="Body Text"/>
    <w:basedOn w:val="Normal"/>
    <w:link w:val="BodyTextChar"/>
    <w:uiPriority w:val="1"/>
    <w:qFormat/>
    <w:rsid w:val="00E437EB"/>
    <w:pPr>
      <w:spacing w:before="240" w:line="254" w:lineRule="auto"/>
      <w:ind w:left="100" w:right="298"/>
    </w:pPr>
    <w:rPr>
      <w:rFonts w:ascii="Times" w:eastAsia="Georgia" w:hAnsi="Times" w:cs="Georgia"/>
      <w:sz w:val="25"/>
      <w:lang w:val="en-US" w:eastAsia="en-US" w:bidi="en-US"/>
    </w:rPr>
  </w:style>
  <w:style w:type="character" w:customStyle="1" w:styleId="BodyTextChar">
    <w:name w:val="Body Text Char"/>
    <w:basedOn w:val="DefaultParagraphFont"/>
    <w:link w:val="BodyText"/>
    <w:uiPriority w:val="1"/>
    <w:rsid w:val="00E437EB"/>
    <w:rPr>
      <w:rFonts w:ascii="Times" w:eastAsia="Georgia" w:hAnsi="Times" w:cs="Georgia"/>
      <w:sz w:val="25"/>
      <w:szCs w:val="24"/>
      <w:lang w:val="en-US" w:eastAsia="en-US" w:bidi="en-US"/>
    </w:rPr>
  </w:style>
  <w:style w:type="paragraph" w:customStyle="1" w:styleId="TableParagraph">
    <w:name w:val="Table Paragraph"/>
    <w:basedOn w:val="Normal"/>
    <w:uiPriority w:val="1"/>
    <w:qFormat/>
    <w:rsid w:val="00E437EB"/>
    <w:pPr>
      <w:widowControl w:val="0"/>
      <w:autoSpaceDE w:val="0"/>
      <w:autoSpaceDN w:val="0"/>
      <w:spacing w:line="240" w:lineRule="auto"/>
      <w:jc w:val="left"/>
    </w:pPr>
    <w:rPr>
      <w:rFonts w:ascii="Times" w:eastAsia="Georgia" w:hAnsi="Times" w:cs="Georgia"/>
      <w:sz w:val="24"/>
      <w:szCs w:val="22"/>
      <w:lang w:val="en-US" w:eastAsia="en-US" w:bidi="en-US"/>
    </w:rPr>
  </w:style>
  <w:style w:type="paragraph" w:customStyle="1" w:styleId="ACPnormal">
    <w:name w:val="ACPnormal"/>
    <w:basedOn w:val="Normal"/>
    <w:rsid w:val="00E437EB"/>
    <w:rPr>
      <w:szCs w:val="20"/>
    </w:rPr>
  </w:style>
  <w:style w:type="paragraph" w:customStyle="1" w:styleId="ACPtext">
    <w:name w:val="ACPtext"/>
    <w:basedOn w:val="ACPnormal"/>
    <w:qFormat/>
    <w:rsid w:val="00E437EB"/>
    <w:pPr>
      <w:spacing w:line="360" w:lineRule="exact"/>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endnote reference" w:uiPriority="0"/>
    <w:lsdException w:name="endnote text" w:uiPriority="0"/>
    <w:lsdException w:name="Title" w:semiHidden="0" w:uiPriority="10" w:unhideWhenUsed="0"/>
    <w:lsdException w:name="Default Paragraph Font" w:uiPriority="1"/>
    <w:lsdException w:name="Body Text" w:uiPriority="1" w:qFormat="1"/>
    <w:lsdException w:name="Subtitle" w:semiHidden="0" w:uiPriority="11" w:unhideWhenUsed="0"/>
    <w:lsdException w:name="Hyperlink" w:uiPriority="0"/>
    <w:lsdException w:name="Strong" w:semiHidden="0" w:uiPriority="22" w:unhideWhenUsed="0"/>
    <w:lsdException w:name="Emphasis" w:semiHidden="0" w:uiPriority="20" w:unhideWhenUsed="0"/>
    <w:lsdException w:name="No Lis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40CE0"/>
    <w:pPr>
      <w:spacing w:line="360" w:lineRule="auto"/>
      <w:jc w:val="both"/>
    </w:pPr>
    <w:rPr>
      <w:rFonts w:ascii="Times New Roman" w:eastAsia="Times New Roman" w:hAnsi="Times New Roman"/>
      <w:szCs w:val="24"/>
      <w:lang w:eastAsia="de-DE"/>
    </w:rPr>
  </w:style>
  <w:style w:type="paragraph" w:styleId="Heading1">
    <w:name w:val="heading 1"/>
    <w:basedOn w:val="Normal"/>
    <w:next w:val="Normal"/>
    <w:link w:val="Heading1Char"/>
    <w:qFormat/>
    <w:rsid w:val="00075F28"/>
    <w:pPr>
      <w:keepNext/>
      <w:spacing w:before="480" w:after="240" w:line="240" w:lineRule="auto"/>
      <w:outlineLvl w:val="0"/>
    </w:pPr>
    <w:rPr>
      <w:rFonts w:cs="Arial"/>
      <w:b/>
      <w:bCs/>
      <w:color w:val="000000"/>
      <w:kern w:val="32"/>
      <w:szCs w:val="32"/>
    </w:rPr>
  </w:style>
  <w:style w:type="paragraph" w:styleId="Heading2">
    <w:name w:val="heading 2"/>
    <w:basedOn w:val="Normal"/>
    <w:next w:val="Normal"/>
    <w:link w:val="Heading2Char"/>
    <w:qFormat/>
    <w:rsid w:val="00E00339"/>
    <w:pPr>
      <w:keepNext/>
      <w:spacing w:before="240" w:after="240" w:line="240" w:lineRule="auto"/>
      <w:outlineLvl w:val="1"/>
    </w:pPr>
    <w:rPr>
      <w:rFonts w:cs="Arial"/>
      <w:b/>
      <w:bCs/>
      <w:iCs/>
      <w:szCs w:val="28"/>
    </w:rPr>
  </w:style>
  <w:style w:type="paragraph" w:styleId="Heading3">
    <w:name w:val="heading 3"/>
    <w:basedOn w:val="Normal"/>
    <w:next w:val="Normal"/>
    <w:link w:val="Heading3Char"/>
    <w:qFormat/>
    <w:rsid w:val="005A4F32"/>
    <w:pPr>
      <w:keepNext/>
      <w:spacing w:before="240" w:after="240" w:line="240" w:lineRule="auto"/>
      <w:outlineLvl w:val="2"/>
    </w:pPr>
    <w:rPr>
      <w:rFonts w:cs="Arial"/>
      <w:b/>
      <w:bCs/>
      <w:szCs w:val="26"/>
    </w:rPr>
  </w:style>
  <w:style w:type="paragraph" w:styleId="Heading4">
    <w:name w:val="heading 4"/>
    <w:basedOn w:val="Normal"/>
    <w:next w:val="Normal"/>
    <w:link w:val="Heading4Char"/>
    <w:rsid w:val="00ED6B96"/>
    <w:pPr>
      <w:keepNext/>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treff">
    <w:name w:val="Betreff"/>
    <w:basedOn w:val="Normal"/>
    <w:next w:val="Normal"/>
    <w:rsid w:val="00ED6B96"/>
    <w:rPr>
      <w:b/>
    </w:rPr>
  </w:style>
  <w:style w:type="paragraph" w:customStyle="1" w:styleId="Bullets">
    <w:name w:val="Bullets"/>
    <w:basedOn w:val="Normal"/>
    <w:link w:val="BulletsChar"/>
    <w:rsid w:val="00ED6B96"/>
    <w:pPr>
      <w:numPr>
        <w:numId w:val="2"/>
      </w:numPr>
    </w:pPr>
  </w:style>
  <w:style w:type="character" w:customStyle="1" w:styleId="BulletsChar">
    <w:name w:val="Bullets Char"/>
    <w:link w:val="Bullets"/>
    <w:rsid w:val="00ED6B96"/>
    <w:rPr>
      <w:rFonts w:ascii="Verdana" w:eastAsia="Times New Roman" w:hAnsi="Verdana" w:cs="Times New Roman"/>
      <w:sz w:val="19"/>
      <w:szCs w:val="24"/>
      <w:lang w:eastAsia="de-DE"/>
    </w:rPr>
  </w:style>
  <w:style w:type="table" w:customStyle="1" w:styleId="Copernicus">
    <w:name w:val="Copernicus"/>
    <w:basedOn w:val="TableNormal"/>
    <w:rsid w:val="00ED6B96"/>
    <w:rPr>
      <w:rFonts w:ascii="Verdana" w:eastAsia="Times New Roman" w:hAnsi="Verdana"/>
      <w:sz w:val="19"/>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cPr>
      <w:shd w:val="clear" w:color="auto" w:fill="auto"/>
      <w:vAlign w:val="center"/>
    </w:tcPr>
    <w:tblStylePr w:type="firstRow">
      <w:pPr>
        <w:jc w:val="left"/>
      </w:pPr>
      <w:rPr>
        <w:rFonts w:ascii="Verdana" w:hAnsi="Verdana"/>
        <w:b/>
        <w:i w:val="0"/>
        <w:sz w:val="19"/>
      </w:rPr>
      <w:tblPr/>
      <w:tcPr>
        <w:shd w:val="clear" w:color="auto" w:fill="BFBFBF"/>
      </w:tcPr>
    </w:tblStylePr>
    <w:tblStylePr w:type="lastRow">
      <w:pPr>
        <w:jc w:val="left"/>
      </w:pPr>
      <w:rPr>
        <w:rFonts w:ascii="Verdana" w:hAnsi="Verdana"/>
        <w:sz w:val="19"/>
      </w:rPr>
    </w:tblStylePr>
    <w:tblStylePr w:type="firstCol">
      <w:rPr>
        <w:rFonts w:ascii="Verdana" w:hAnsi="Verdana"/>
        <w:sz w:val="19"/>
      </w:rPr>
    </w:tblStylePr>
    <w:tblStylePr w:type="lastCol">
      <w:rPr>
        <w:rFonts w:ascii="Verdana" w:hAnsi="Verdana"/>
        <w:sz w:val="19"/>
      </w:r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cBorders>
      </w:tcPr>
    </w:tblStylePr>
  </w:style>
  <w:style w:type="paragraph" w:styleId="Header">
    <w:name w:val="header"/>
    <w:basedOn w:val="Normal"/>
    <w:link w:val="HeaderChar"/>
    <w:rsid w:val="00ED6B96"/>
    <w:pPr>
      <w:tabs>
        <w:tab w:val="center" w:pos="4536"/>
        <w:tab w:val="right" w:pos="9072"/>
      </w:tabs>
    </w:pPr>
  </w:style>
  <w:style w:type="character" w:customStyle="1" w:styleId="Heading1Char">
    <w:name w:val="Heading 1 Char"/>
    <w:link w:val="Heading1"/>
    <w:rsid w:val="00075F28"/>
    <w:rPr>
      <w:rFonts w:ascii="Times New Roman" w:eastAsia="Times New Roman" w:hAnsi="Times New Roman" w:cs="Arial"/>
      <w:b/>
      <w:bCs/>
      <w:color w:val="000000"/>
      <w:kern w:val="32"/>
      <w:szCs w:val="32"/>
      <w:lang w:eastAsia="de-DE"/>
    </w:rPr>
  </w:style>
  <w:style w:type="character" w:customStyle="1" w:styleId="Heading3Char">
    <w:name w:val="Heading 3 Char"/>
    <w:link w:val="Heading3"/>
    <w:rsid w:val="005A4F32"/>
    <w:rPr>
      <w:rFonts w:ascii="Times New Roman" w:eastAsia="Times New Roman" w:hAnsi="Times New Roman" w:cs="Arial"/>
      <w:b/>
      <w:bCs/>
      <w:szCs w:val="26"/>
      <w:lang w:eastAsia="de-DE"/>
    </w:rPr>
  </w:style>
  <w:style w:type="character" w:customStyle="1" w:styleId="Heading4Char">
    <w:name w:val="Heading 4 Char"/>
    <w:link w:val="Heading4"/>
    <w:rsid w:val="00796A7F"/>
    <w:rPr>
      <w:rFonts w:ascii="Verdana" w:eastAsia="Times New Roman" w:hAnsi="Verdana" w:cs="Times New Roman"/>
      <w:b/>
      <w:bCs/>
      <w:sz w:val="19"/>
      <w:szCs w:val="28"/>
      <w:lang w:eastAsia="de-DE"/>
    </w:rPr>
  </w:style>
  <w:style w:type="character" w:customStyle="1" w:styleId="HeaderChar">
    <w:name w:val="Header Char"/>
    <w:link w:val="Header"/>
    <w:rsid w:val="00ED6B96"/>
    <w:rPr>
      <w:rFonts w:ascii="Verdana" w:eastAsia="Times New Roman" w:hAnsi="Verdana" w:cs="Times New Roman"/>
      <w:sz w:val="19"/>
      <w:szCs w:val="24"/>
      <w:lang w:eastAsia="de-DE"/>
    </w:rPr>
  </w:style>
  <w:style w:type="character" w:customStyle="1" w:styleId="Heading2Char">
    <w:name w:val="Heading 2 Char"/>
    <w:link w:val="Heading2"/>
    <w:rsid w:val="00E00339"/>
    <w:rPr>
      <w:rFonts w:ascii="Times New Roman" w:eastAsia="Times New Roman" w:hAnsi="Times New Roman" w:cs="Arial"/>
      <w:b/>
      <w:bCs/>
      <w:iCs/>
      <w:szCs w:val="28"/>
      <w:lang w:eastAsia="de-DE"/>
    </w:rPr>
  </w:style>
  <w:style w:type="character" w:styleId="Hyperlink">
    <w:name w:val="Hyperlink"/>
    <w:rsid w:val="00ED6B96"/>
    <w:rPr>
      <w:color w:val="0000FF"/>
      <w:u w:val="single"/>
    </w:rPr>
  </w:style>
  <w:style w:type="paragraph" w:customStyle="1" w:styleId="Kontakt">
    <w:name w:val="Kontakt"/>
    <w:basedOn w:val="Normal"/>
    <w:rsid w:val="00ED6B96"/>
    <w:pPr>
      <w:spacing w:line="160" w:lineRule="exact"/>
    </w:pPr>
    <w:rPr>
      <w:color w:val="808080"/>
      <w:sz w:val="13"/>
    </w:rPr>
  </w:style>
  <w:style w:type="paragraph" w:customStyle="1" w:styleId="Name">
    <w:name w:val="Name"/>
    <w:basedOn w:val="Normal"/>
    <w:rsid w:val="00ED6B96"/>
    <w:pPr>
      <w:spacing w:before="160" w:after="80"/>
    </w:pPr>
    <w:rPr>
      <w:rFonts w:ascii="Book Antiqua" w:hAnsi="Book Antiqua"/>
      <w:color w:val="808080"/>
      <w:sz w:val="22"/>
    </w:rPr>
  </w:style>
  <w:style w:type="paragraph" w:customStyle="1" w:styleId="CopernicusWordtemplate">
    <w:name w:val="Copernicus_Word_template"/>
    <w:basedOn w:val="Normal"/>
    <w:link w:val="CopernicusWordtemplateChar"/>
    <w:rsid w:val="00B5719D"/>
  </w:style>
  <w:style w:type="character" w:customStyle="1" w:styleId="CopernicusWordtemplateChar">
    <w:name w:val="Copernicus_Word_template Char"/>
    <w:basedOn w:val="DefaultParagraphFont"/>
    <w:link w:val="CopernicusWordtemplate"/>
    <w:rsid w:val="00B5719D"/>
    <w:rPr>
      <w:rFonts w:ascii="Times New Roman" w:eastAsia="Times New Roman" w:hAnsi="Times New Roman"/>
      <w:sz w:val="24"/>
      <w:szCs w:val="24"/>
      <w:lang w:eastAsia="de-DE"/>
    </w:rPr>
  </w:style>
  <w:style w:type="character" w:styleId="LineNumber">
    <w:name w:val="line number"/>
    <w:basedOn w:val="DefaultParagraphFont"/>
    <w:unhideWhenUsed/>
    <w:rsid w:val="00D40CE0"/>
  </w:style>
  <w:style w:type="paragraph" w:customStyle="1" w:styleId="MStitle">
    <w:name w:val="MS title"/>
    <w:basedOn w:val="Normal"/>
    <w:link w:val="MStitleChar"/>
    <w:qFormat/>
    <w:rsid w:val="0091791F"/>
    <w:pPr>
      <w:spacing w:before="360" w:line="440" w:lineRule="exact"/>
      <w:contextualSpacing/>
    </w:pPr>
    <w:rPr>
      <w:b/>
      <w:sz w:val="34"/>
    </w:rPr>
  </w:style>
  <w:style w:type="paragraph" w:styleId="ListParagraph">
    <w:name w:val="List Paragraph"/>
    <w:basedOn w:val="Normal"/>
    <w:uiPriority w:val="34"/>
    <w:rsid w:val="00B4015F"/>
    <w:pPr>
      <w:ind w:left="720"/>
      <w:contextualSpacing/>
    </w:pPr>
  </w:style>
  <w:style w:type="character" w:customStyle="1" w:styleId="MStitleChar">
    <w:name w:val="MS title Char"/>
    <w:basedOn w:val="DefaultParagraphFont"/>
    <w:link w:val="MStitle"/>
    <w:rsid w:val="0091791F"/>
    <w:rPr>
      <w:rFonts w:ascii="Times New Roman" w:eastAsia="Times New Roman" w:hAnsi="Times New Roman"/>
      <w:b/>
      <w:sz w:val="34"/>
      <w:szCs w:val="24"/>
      <w:lang w:eastAsia="de-DE"/>
    </w:rPr>
  </w:style>
  <w:style w:type="paragraph" w:customStyle="1" w:styleId="Affiliation">
    <w:name w:val="Affiliation"/>
    <w:basedOn w:val="Normal"/>
    <w:link w:val="AffiliationChar"/>
    <w:qFormat/>
    <w:rsid w:val="00450DB9"/>
    <w:pPr>
      <w:spacing w:before="120" w:line="240" w:lineRule="auto"/>
      <w:contextualSpacing/>
    </w:pPr>
  </w:style>
  <w:style w:type="character" w:styleId="PlaceholderText">
    <w:name w:val="Placeholder Text"/>
    <w:basedOn w:val="DefaultParagraphFont"/>
    <w:uiPriority w:val="99"/>
    <w:semiHidden/>
    <w:rsid w:val="003D5288"/>
    <w:rPr>
      <w:color w:val="808080"/>
    </w:rPr>
  </w:style>
  <w:style w:type="character" w:customStyle="1" w:styleId="AffiliationChar">
    <w:name w:val="Affiliation Char"/>
    <w:basedOn w:val="DefaultParagraphFont"/>
    <w:link w:val="Affiliation"/>
    <w:rsid w:val="00450DB9"/>
    <w:rPr>
      <w:rFonts w:ascii="Times New Roman" w:eastAsia="Times New Roman" w:hAnsi="Times New Roman"/>
      <w:szCs w:val="24"/>
      <w:lang w:eastAsia="de-DE"/>
    </w:rPr>
  </w:style>
  <w:style w:type="paragraph" w:styleId="BalloonText">
    <w:name w:val="Balloon Text"/>
    <w:basedOn w:val="Normal"/>
    <w:link w:val="BalloonTextChar"/>
    <w:unhideWhenUsed/>
    <w:rsid w:val="003D528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D5288"/>
    <w:rPr>
      <w:rFonts w:ascii="Tahoma" w:eastAsia="Times New Roman" w:hAnsi="Tahoma" w:cs="Tahoma"/>
      <w:sz w:val="16"/>
      <w:szCs w:val="16"/>
      <w:lang w:eastAsia="de-DE"/>
    </w:rPr>
  </w:style>
  <w:style w:type="paragraph" w:customStyle="1" w:styleId="Equation">
    <w:name w:val="Equation"/>
    <w:basedOn w:val="Normal"/>
    <w:link w:val="EquationChar"/>
    <w:rsid w:val="00C35812"/>
    <w:pPr>
      <w:spacing w:before="120" w:after="120"/>
    </w:pPr>
    <w:rPr>
      <w:rFonts w:ascii="Cambria Math" w:hAnsi="Cambria Math"/>
    </w:rPr>
  </w:style>
  <w:style w:type="paragraph" w:styleId="Caption">
    <w:name w:val="caption"/>
    <w:basedOn w:val="Normal"/>
    <w:next w:val="Normal"/>
    <w:uiPriority w:val="35"/>
    <w:unhideWhenUsed/>
    <w:qFormat/>
    <w:rsid w:val="003A4FB4"/>
    <w:pPr>
      <w:spacing w:after="200" w:line="240" w:lineRule="auto"/>
    </w:pPr>
    <w:rPr>
      <w:b/>
      <w:bCs/>
      <w:sz w:val="18"/>
      <w:szCs w:val="18"/>
    </w:rPr>
  </w:style>
  <w:style w:type="character" w:customStyle="1" w:styleId="EquationChar">
    <w:name w:val="Equation Char"/>
    <w:basedOn w:val="DefaultParagraphFont"/>
    <w:link w:val="Equation"/>
    <w:rsid w:val="00C35812"/>
    <w:rPr>
      <w:rFonts w:ascii="Cambria Math" w:eastAsia="Times New Roman" w:hAnsi="Cambria Math"/>
      <w:szCs w:val="24"/>
      <w:lang w:eastAsia="de-DE"/>
    </w:rPr>
  </w:style>
  <w:style w:type="paragraph" w:styleId="Footer">
    <w:name w:val="footer"/>
    <w:basedOn w:val="Normal"/>
    <w:link w:val="FooterChar"/>
    <w:uiPriority w:val="99"/>
    <w:unhideWhenUsed/>
    <w:rsid w:val="006D0C96"/>
    <w:pPr>
      <w:tabs>
        <w:tab w:val="center" w:pos="4513"/>
        <w:tab w:val="right" w:pos="9026"/>
      </w:tabs>
      <w:spacing w:line="240" w:lineRule="auto"/>
    </w:pPr>
  </w:style>
  <w:style w:type="character" w:customStyle="1" w:styleId="FooterChar">
    <w:name w:val="Footer Char"/>
    <w:basedOn w:val="DefaultParagraphFont"/>
    <w:link w:val="Footer"/>
    <w:uiPriority w:val="99"/>
    <w:rsid w:val="006D0C96"/>
    <w:rPr>
      <w:rFonts w:ascii="Times New Roman" w:eastAsia="Times New Roman" w:hAnsi="Times New Roman"/>
      <w:szCs w:val="24"/>
      <w:lang w:eastAsia="de-DE"/>
    </w:rPr>
  </w:style>
  <w:style w:type="paragraph" w:customStyle="1" w:styleId="Correspondence">
    <w:name w:val="Correspondence"/>
    <w:basedOn w:val="Normal"/>
    <w:link w:val="CorrespondenceChar"/>
    <w:qFormat/>
    <w:rsid w:val="008E213F"/>
    <w:pPr>
      <w:spacing w:before="120" w:after="360" w:line="240" w:lineRule="auto"/>
    </w:pPr>
  </w:style>
  <w:style w:type="character" w:customStyle="1" w:styleId="CorrespondenceChar">
    <w:name w:val="Correspondence Char"/>
    <w:basedOn w:val="DefaultParagraphFont"/>
    <w:link w:val="Correspondence"/>
    <w:rsid w:val="008E213F"/>
    <w:rPr>
      <w:rFonts w:ascii="Times New Roman" w:eastAsia="Times New Roman" w:hAnsi="Times New Roman"/>
      <w:szCs w:val="24"/>
      <w:lang w:eastAsia="de-DE"/>
    </w:rPr>
  </w:style>
  <w:style w:type="paragraph" w:customStyle="1" w:styleId="Authors">
    <w:name w:val="Authors"/>
    <w:basedOn w:val="Normal"/>
    <w:link w:val="AuthorsChar"/>
    <w:qFormat/>
    <w:rsid w:val="00BD0523"/>
    <w:pPr>
      <w:spacing w:before="180" w:line="240" w:lineRule="auto"/>
      <w:contextualSpacing/>
    </w:pPr>
    <w:rPr>
      <w:sz w:val="24"/>
    </w:rPr>
  </w:style>
  <w:style w:type="character" w:customStyle="1" w:styleId="AuthorsChar">
    <w:name w:val="Authors Char"/>
    <w:basedOn w:val="DefaultParagraphFont"/>
    <w:link w:val="Authors"/>
    <w:rsid w:val="00BD0523"/>
    <w:rPr>
      <w:rFonts w:ascii="Times New Roman" w:eastAsia="Times New Roman" w:hAnsi="Times New Roman"/>
      <w:sz w:val="24"/>
      <w:szCs w:val="24"/>
      <w:lang w:eastAsia="de-DE"/>
    </w:rPr>
  </w:style>
  <w:style w:type="paragraph" w:customStyle="1" w:styleId="Times1213J">
    <w:name w:val="Times/12/13/J"/>
    <w:basedOn w:val="Normal"/>
    <w:qFormat/>
    <w:rsid w:val="00E437EB"/>
    <w:pPr>
      <w:spacing w:line="260" w:lineRule="exact"/>
    </w:pPr>
    <w:rPr>
      <w:rFonts w:ascii="Times" w:eastAsia="Cambria" w:hAnsi="Times"/>
      <w:sz w:val="24"/>
      <w:lang w:val="en-US" w:eastAsia="en-US"/>
    </w:rPr>
  </w:style>
  <w:style w:type="paragraph" w:customStyle="1" w:styleId="Times1215J">
    <w:name w:val="Times12/15/J"/>
    <w:basedOn w:val="Times1213J"/>
    <w:qFormat/>
    <w:rsid w:val="00E437EB"/>
    <w:pPr>
      <w:spacing w:before="200" w:line="300" w:lineRule="exact"/>
    </w:pPr>
    <w:rPr>
      <w:rFonts w:eastAsia="Times New Roman"/>
      <w:color w:val="000000"/>
      <w:szCs w:val="20"/>
    </w:rPr>
  </w:style>
  <w:style w:type="paragraph" w:customStyle="1" w:styleId="text">
    <w:name w:val="text"/>
    <w:basedOn w:val="ACPnormal"/>
    <w:rsid w:val="00E437EB"/>
    <w:pPr>
      <w:spacing w:before="180" w:line="360" w:lineRule="exact"/>
    </w:pPr>
    <w:rPr>
      <w:rFonts w:cs="Times"/>
    </w:rPr>
  </w:style>
  <w:style w:type="paragraph" w:customStyle="1" w:styleId="title">
    <w:name w:val="title"/>
    <w:basedOn w:val="text"/>
    <w:rsid w:val="00E437EB"/>
    <w:pPr>
      <w:spacing w:before="0"/>
      <w:jc w:val="center"/>
    </w:pPr>
    <w:rPr>
      <w:b/>
      <w:sz w:val="32"/>
    </w:rPr>
  </w:style>
  <w:style w:type="paragraph" w:customStyle="1" w:styleId="author">
    <w:name w:val="author"/>
    <w:basedOn w:val="Normal"/>
    <w:rsid w:val="00E437EB"/>
    <w:pPr>
      <w:spacing w:before="160" w:line="240" w:lineRule="auto"/>
      <w:jc w:val="center"/>
    </w:pPr>
    <w:rPr>
      <w:rFonts w:ascii="Times" w:hAnsi="Times" w:cs="Times"/>
      <w:b/>
      <w:sz w:val="28"/>
      <w:szCs w:val="20"/>
      <w:lang w:val="en-US" w:eastAsia="en-US"/>
    </w:rPr>
  </w:style>
  <w:style w:type="paragraph" w:customStyle="1" w:styleId="date">
    <w:name w:val="date"/>
    <w:basedOn w:val="Normal"/>
    <w:rsid w:val="00E437EB"/>
    <w:pPr>
      <w:spacing w:before="300" w:line="240" w:lineRule="auto"/>
      <w:jc w:val="center"/>
    </w:pPr>
    <w:rPr>
      <w:rFonts w:ascii="Times" w:hAnsi="Times" w:cs="Times"/>
      <w:sz w:val="24"/>
      <w:szCs w:val="20"/>
      <w:lang w:val="en-US" w:eastAsia="en-US"/>
    </w:rPr>
  </w:style>
  <w:style w:type="paragraph" w:customStyle="1" w:styleId="fig">
    <w:name w:val="fig"/>
    <w:basedOn w:val="Normal"/>
    <w:rsid w:val="00E437EB"/>
    <w:pPr>
      <w:keepNext/>
      <w:spacing w:before="240" w:line="240" w:lineRule="auto"/>
      <w:jc w:val="center"/>
    </w:pPr>
    <w:rPr>
      <w:rFonts w:ascii="Times" w:hAnsi="Times" w:cs="Times"/>
      <w:sz w:val="24"/>
      <w:szCs w:val="20"/>
      <w:lang w:val="en-US" w:eastAsia="en-US"/>
    </w:rPr>
  </w:style>
  <w:style w:type="paragraph" w:customStyle="1" w:styleId="Caption1">
    <w:name w:val="Caption1"/>
    <w:basedOn w:val="Normal"/>
    <w:rsid w:val="00E437EB"/>
    <w:pPr>
      <w:keepLines/>
      <w:spacing w:before="200" w:line="260" w:lineRule="exact"/>
      <w:ind w:left="360" w:right="360"/>
    </w:pPr>
    <w:rPr>
      <w:rFonts w:ascii="Times" w:hAnsi="Times" w:cs="Times"/>
      <w:sz w:val="24"/>
      <w:szCs w:val="20"/>
      <w:lang w:val="en-US" w:eastAsia="en-US"/>
    </w:rPr>
  </w:style>
  <w:style w:type="paragraph" w:customStyle="1" w:styleId="eqn">
    <w:name w:val="eqn"/>
    <w:basedOn w:val="Normal"/>
    <w:rsid w:val="007C03C2"/>
    <w:pPr>
      <w:tabs>
        <w:tab w:val="right" w:pos="10080"/>
      </w:tabs>
      <w:spacing w:before="240" w:line="240" w:lineRule="auto"/>
      <w:jc w:val="left"/>
    </w:pPr>
    <w:rPr>
      <w:rFonts w:cs="Times"/>
      <w:szCs w:val="20"/>
      <w:lang w:val="en-US" w:eastAsia="en-US"/>
    </w:rPr>
  </w:style>
  <w:style w:type="paragraph" w:customStyle="1" w:styleId="FigFileName">
    <w:name w:val="FigFileName"/>
    <w:basedOn w:val="text"/>
    <w:qFormat/>
    <w:rsid w:val="00E437EB"/>
    <w:pPr>
      <w:keepNext/>
      <w:spacing w:before="0" w:line="140" w:lineRule="exact"/>
      <w:jc w:val="center"/>
    </w:pPr>
    <w:rPr>
      <w:rFonts w:ascii="Helvetica" w:hAnsi="Helvetica"/>
      <w:color w:val="000000"/>
      <w:sz w:val="14"/>
    </w:rPr>
  </w:style>
  <w:style w:type="paragraph" w:customStyle="1" w:styleId="FigureorTableCaption">
    <w:name w:val="Figure or Table Caption"/>
    <w:basedOn w:val="Normal"/>
    <w:rsid w:val="00E437EB"/>
    <w:pPr>
      <w:keepLines/>
      <w:spacing w:line="360" w:lineRule="exact"/>
      <w:ind w:left="274" w:right="274"/>
      <w:outlineLvl w:val="0"/>
    </w:pPr>
    <w:rPr>
      <w:rFonts w:ascii="Times" w:hAnsi="Times"/>
      <w:kern w:val="28"/>
      <w:sz w:val="24"/>
      <w:lang w:val="en-US" w:eastAsia="en-US"/>
    </w:rPr>
  </w:style>
  <w:style w:type="paragraph" w:customStyle="1" w:styleId="Heading-Secondary">
    <w:name w:val="Heading-Secondary"/>
    <w:basedOn w:val="Normal"/>
    <w:qFormat/>
    <w:rsid w:val="00E437EB"/>
    <w:pPr>
      <w:keepNext/>
      <w:spacing w:before="240" w:after="120" w:line="240" w:lineRule="auto"/>
      <w:ind w:left="270"/>
      <w:jc w:val="left"/>
      <w:outlineLvl w:val="0"/>
    </w:pPr>
    <w:rPr>
      <w:bCs/>
      <w:kern w:val="28"/>
      <w:sz w:val="24"/>
      <w:lang w:val="en-US" w:eastAsia="en-US"/>
    </w:rPr>
  </w:style>
  <w:style w:type="paragraph" w:customStyle="1" w:styleId="hdr">
    <w:name w:val="hdr"/>
    <w:basedOn w:val="text"/>
    <w:rsid w:val="00E437EB"/>
    <w:pPr>
      <w:keepNext/>
      <w:spacing w:before="360" w:line="280" w:lineRule="exact"/>
    </w:pPr>
    <w:rPr>
      <w:b/>
    </w:rPr>
  </w:style>
  <w:style w:type="paragraph" w:customStyle="1" w:styleId="Box">
    <w:name w:val="Box"/>
    <w:basedOn w:val="Normal"/>
    <w:qFormat/>
    <w:rsid w:val="00E437EB"/>
    <w:pPr>
      <w:spacing w:before="240" w:line="480" w:lineRule="auto"/>
    </w:pPr>
    <w:rPr>
      <w:rFonts w:ascii="Times" w:hAnsi="Times" w:cs="Times"/>
      <w:sz w:val="24"/>
      <w:szCs w:val="20"/>
      <w:lang w:val="en-US" w:eastAsia="en-US"/>
    </w:rPr>
  </w:style>
  <w:style w:type="paragraph" w:customStyle="1" w:styleId="BoxFig">
    <w:name w:val="BoxFig"/>
    <w:basedOn w:val="Normal"/>
    <w:qFormat/>
    <w:rsid w:val="00E437EB"/>
    <w:pPr>
      <w:keepNext/>
      <w:spacing w:before="240" w:line="240" w:lineRule="auto"/>
      <w:jc w:val="center"/>
    </w:pPr>
    <w:rPr>
      <w:rFonts w:ascii="Times" w:hAnsi="Times" w:cs="Times"/>
      <w:noProof/>
      <w:sz w:val="24"/>
      <w:szCs w:val="20"/>
      <w:lang w:val="en-US" w:eastAsia="en-US"/>
    </w:rPr>
  </w:style>
  <w:style w:type="paragraph" w:customStyle="1" w:styleId="BoxCaption">
    <w:name w:val="BoxCaption"/>
    <w:basedOn w:val="Normal"/>
    <w:qFormat/>
    <w:rsid w:val="00E437EB"/>
    <w:pPr>
      <w:keepLines/>
      <w:spacing w:line="480" w:lineRule="auto"/>
      <w:ind w:left="360" w:right="360"/>
    </w:pPr>
    <w:rPr>
      <w:rFonts w:ascii="Times" w:hAnsi="Times" w:cs="Times"/>
      <w:b/>
      <w:sz w:val="22"/>
      <w:szCs w:val="20"/>
      <w:lang w:val="en-US" w:eastAsia="en-US"/>
    </w:rPr>
  </w:style>
  <w:style w:type="paragraph" w:customStyle="1" w:styleId="reftimes1216">
    <w:name w:val="ref times 12/16"/>
    <w:basedOn w:val="Normal"/>
    <w:rsid w:val="00E437EB"/>
    <w:pPr>
      <w:spacing w:before="240" w:line="320" w:lineRule="exact"/>
      <w:ind w:left="540" w:hanging="540"/>
    </w:pPr>
    <w:rPr>
      <w:rFonts w:ascii="Times" w:hAnsi="Times" w:cs="Times"/>
      <w:sz w:val="24"/>
      <w:szCs w:val="20"/>
      <w:lang w:val="en-US" w:eastAsia="en-US"/>
    </w:rPr>
  </w:style>
  <w:style w:type="table" w:styleId="TableGrid">
    <w:name w:val="Table Grid"/>
    <w:basedOn w:val="TableNormal"/>
    <w:uiPriority w:val="59"/>
    <w:rsid w:val="00E437EB"/>
    <w:rPr>
      <w:rFonts w:ascii="Cambria" w:eastAsia="Cambria" w:hAnsi="Cambria"/>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E437EB"/>
  </w:style>
  <w:style w:type="paragraph" w:customStyle="1" w:styleId="RefF">
    <w:name w:val="RefF"/>
    <w:basedOn w:val="Normal"/>
    <w:qFormat/>
    <w:rsid w:val="00E437EB"/>
    <w:pPr>
      <w:tabs>
        <w:tab w:val="left" w:pos="540"/>
      </w:tabs>
      <w:spacing w:before="120" w:line="320" w:lineRule="exact"/>
      <w:ind w:left="360" w:hanging="360"/>
    </w:pPr>
    <w:rPr>
      <w:rFonts w:eastAsia="Times"/>
      <w:sz w:val="24"/>
      <w:lang w:val="en-US" w:eastAsia="en-US"/>
    </w:rPr>
  </w:style>
  <w:style w:type="paragraph" w:customStyle="1" w:styleId="RefsJGR">
    <w:name w:val="RefsJGR"/>
    <w:basedOn w:val="Normal"/>
    <w:qFormat/>
    <w:rsid w:val="00E437EB"/>
    <w:pPr>
      <w:widowControl w:val="0"/>
      <w:autoSpaceDE w:val="0"/>
      <w:autoSpaceDN w:val="0"/>
      <w:adjustRightInd w:val="0"/>
      <w:spacing w:after="120" w:line="240" w:lineRule="auto"/>
      <w:ind w:left="540" w:right="-720" w:hanging="540"/>
      <w:jc w:val="left"/>
    </w:pPr>
    <w:rPr>
      <w:rFonts w:ascii="Times" w:hAnsi="Times"/>
      <w:sz w:val="24"/>
      <w:szCs w:val="28"/>
      <w:lang w:val="en-US" w:eastAsia="ja-JP"/>
    </w:rPr>
  </w:style>
  <w:style w:type="paragraph" w:customStyle="1" w:styleId="jgrref">
    <w:name w:val="jgr_ref"/>
    <w:basedOn w:val="Normal"/>
    <w:qFormat/>
    <w:rsid w:val="00E437EB"/>
    <w:pPr>
      <w:keepLines/>
      <w:autoSpaceDE w:val="0"/>
      <w:autoSpaceDN w:val="0"/>
      <w:adjustRightInd w:val="0"/>
      <w:spacing w:before="200" w:line="300" w:lineRule="exact"/>
      <w:ind w:left="274" w:hanging="274"/>
    </w:pPr>
    <w:rPr>
      <w:rFonts w:ascii="Times" w:hAnsi="Times"/>
      <w:sz w:val="24"/>
      <w:szCs w:val="28"/>
      <w:lang w:val="en-US" w:eastAsia="ja-JP"/>
    </w:rPr>
  </w:style>
  <w:style w:type="paragraph" w:customStyle="1" w:styleId="TableEntry">
    <w:name w:val="TableEntry"/>
    <w:basedOn w:val="Normal"/>
    <w:qFormat/>
    <w:rsid w:val="00E437EB"/>
    <w:pPr>
      <w:spacing w:before="120" w:after="120" w:line="240" w:lineRule="exact"/>
      <w:jc w:val="right"/>
    </w:pPr>
    <w:rPr>
      <w:rFonts w:ascii="Times" w:eastAsia="Cambria" w:hAnsi="Times"/>
      <w:color w:val="000000"/>
      <w:sz w:val="24"/>
      <w:szCs w:val="20"/>
      <w:lang w:val="en-US" w:eastAsia="en-US"/>
    </w:rPr>
  </w:style>
  <w:style w:type="paragraph" w:customStyle="1" w:styleId="refjw">
    <w:name w:val="ref jw"/>
    <w:basedOn w:val="Normal"/>
    <w:qFormat/>
    <w:rsid w:val="00E437EB"/>
    <w:pPr>
      <w:autoSpaceDE w:val="0"/>
      <w:autoSpaceDN w:val="0"/>
      <w:adjustRightInd w:val="0"/>
      <w:spacing w:before="200" w:line="240" w:lineRule="auto"/>
      <w:ind w:left="547" w:right="-720" w:hanging="547"/>
    </w:pPr>
    <w:rPr>
      <w:rFonts w:ascii="Times" w:eastAsia="Calibri" w:hAnsi="Times"/>
      <w:sz w:val="24"/>
      <w:lang w:val="en-US" w:eastAsia="en-US"/>
    </w:rPr>
  </w:style>
  <w:style w:type="paragraph" w:styleId="HTMLPreformatted">
    <w:name w:val="HTML Preformatted"/>
    <w:basedOn w:val="Normal"/>
    <w:link w:val="HTMLPreformattedChar"/>
    <w:uiPriority w:val="99"/>
    <w:rsid w:val="00E4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w:eastAsia="Cambria" w:hAnsi="Courier" w:cs="Courier"/>
      <w:szCs w:val="20"/>
      <w:lang w:val="en-US" w:eastAsia="en-US"/>
    </w:rPr>
  </w:style>
  <w:style w:type="character" w:customStyle="1" w:styleId="HTMLPreformattedChar">
    <w:name w:val="HTML Preformatted Char"/>
    <w:basedOn w:val="DefaultParagraphFont"/>
    <w:link w:val="HTMLPreformatted"/>
    <w:uiPriority w:val="99"/>
    <w:rsid w:val="00E437EB"/>
    <w:rPr>
      <w:rFonts w:ascii="Courier" w:eastAsia="Cambria" w:hAnsi="Courier" w:cs="Courier"/>
      <w:lang w:val="en-US" w:eastAsia="en-US"/>
    </w:rPr>
  </w:style>
  <w:style w:type="paragraph" w:styleId="EndnoteText">
    <w:name w:val="endnote text"/>
    <w:basedOn w:val="Normal"/>
    <w:link w:val="EndnoteTextChar"/>
    <w:rsid w:val="00E437EB"/>
    <w:pPr>
      <w:spacing w:line="240" w:lineRule="auto"/>
      <w:jc w:val="left"/>
    </w:pPr>
    <w:rPr>
      <w:rFonts w:ascii="Courier" w:eastAsia="Cambria" w:hAnsi="Courier"/>
      <w:sz w:val="24"/>
      <w:lang w:val="en-US" w:eastAsia="en-US"/>
    </w:rPr>
  </w:style>
  <w:style w:type="character" w:customStyle="1" w:styleId="EndnoteTextChar">
    <w:name w:val="Endnote Text Char"/>
    <w:basedOn w:val="DefaultParagraphFont"/>
    <w:link w:val="EndnoteText"/>
    <w:rsid w:val="00E437EB"/>
    <w:rPr>
      <w:rFonts w:ascii="Courier" w:eastAsia="Cambria" w:hAnsi="Courier"/>
      <w:sz w:val="24"/>
      <w:szCs w:val="24"/>
      <w:lang w:val="en-US" w:eastAsia="en-US"/>
    </w:rPr>
  </w:style>
  <w:style w:type="character" w:styleId="EndnoteReference">
    <w:name w:val="endnote reference"/>
    <w:basedOn w:val="DefaultParagraphFont"/>
    <w:rsid w:val="00E437EB"/>
    <w:rPr>
      <w:vertAlign w:val="superscript"/>
    </w:rPr>
  </w:style>
  <w:style w:type="paragraph" w:styleId="BodyText">
    <w:name w:val="Body Text"/>
    <w:basedOn w:val="Normal"/>
    <w:link w:val="BodyTextChar"/>
    <w:uiPriority w:val="1"/>
    <w:qFormat/>
    <w:rsid w:val="00E437EB"/>
    <w:pPr>
      <w:spacing w:before="240" w:line="254" w:lineRule="auto"/>
      <w:ind w:left="100" w:right="298"/>
    </w:pPr>
    <w:rPr>
      <w:rFonts w:ascii="Times" w:eastAsia="Georgia" w:hAnsi="Times" w:cs="Georgia"/>
      <w:sz w:val="25"/>
      <w:lang w:val="en-US" w:eastAsia="en-US" w:bidi="en-US"/>
    </w:rPr>
  </w:style>
  <w:style w:type="character" w:customStyle="1" w:styleId="BodyTextChar">
    <w:name w:val="Body Text Char"/>
    <w:basedOn w:val="DefaultParagraphFont"/>
    <w:link w:val="BodyText"/>
    <w:uiPriority w:val="1"/>
    <w:rsid w:val="00E437EB"/>
    <w:rPr>
      <w:rFonts w:ascii="Times" w:eastAsia="Georgia" w:hAnsi="Times" w:cs="Georgia"/>
      <w:sz w:val="25"/>
      <w:szCs w:val="24"/>
      <w:lang w:val="en-US" w:eastAsia="en-US" w:bidi="en-US"/>
    </w:rPr>
  </w:style>
  <w:style w:type="paragraph" w:customStyle="1" w:styleId="TableParagraph">
    <w:name w:val="Table Paragraph"/>
    <w:basedOn w:val="Normal"/>
    <w:uiPriority w:val="1"/>
    <w:qFormat/>
    <w:rsid w:val="00E437EB"/>
    <w:pPr>
      <w:widowControl w:val="0"/>
      <w:autoSpaceDE w:val="0"/>
      <w:autoSpaceDN w:val="0"/>
      <w:spacing w:line="240" w:lineRule="auto"/>
      <w:jc w:val="left"/>
    </w:pPr>
    <w:rPr>
      <w:rFonts w:ascii="Times" w:eastAsia="Georgia" w:hAnsi="Times" w:cs="Georgia"/>
      <w:sz w:val="24"/>
      <w:szCs w:val="22"/>
      <w:lang w:val="en-US" w:eastAsia="en-US" w:bidi="en-US"/>
    </w:rPr>
  </w:style>
  <w:style w:type="paragraph" w:customStyle="1" w:styleId="ACPnormal">
    <w:name w:val="ACPnormal"/>
    <w:basedOn w:val="Normal"/>
    <w:rsid w:val="00E437EB"/>
    <w:rPr>
      <w:szCs w:val="20"/>
    </w:rPr>
  </w:style>
  <w:style w:type="paragraph" w:customStyle="1" w:styleId="ACPtext">
    <w:name w:val="ACPtext"/>
    <w:basedOn w:val="ACPnormal"/>
    <w:qFormat/>
    <w:rsid w:val="00E437EB"/>
    <w:pPr>
      <w:spacing w:line="36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oleObject" Target="embeddings/oleObject1.bin"/><Relationship Id="rId11" Type="http://schemas.openxmlformats.org/officeDocument/2006/relationships/image" Target="media/image2.emf"/><Relationship Id="rId12" Type="http://schemas.openxmlformats.org/officeDocument/2006/relationships/oleObject" Target="embeddings/oleObject2.bin"/><Relationship Id="rId13" Type="http://schemas.openxmlformats.org/officeDocument/2006/relationships/image" Target="media/image3.emf"/><Relationship Id="rId14" Type="http://schemas.openxmlformats.org/officeDocument/2006/relationships/oleObject" Target="embeddings/oleObject3.bin"/><Relationship Id="rId15" Type="http://schemas.openxmlformats.org/officeDocument/2006/relationships/image" Target="media/image4.emf"/><Relationship Id="rId16" Type="http://schemas.openxmlformats.org/officeDocument/2006/relationships/oleObject" Target="embeddings/oleObject4.bin"/><Relationship Id="rId17" Type="http://schemas.openxmlformats.org/officeDocument/2006/relationships/image" Target="media/image5.emf"/><Relationship Id="rId18" Type="http://schemas.openxmlformats.org/officeDocument/2006/relationships/oleObject" Target="embeddings/oleObject5.bin"/><Relationship Id="rId19" Type="http://schemas.openxmlformats.org/officeDocument/2006/relationships/image" Target="media/image6.emf"/><Relationship Id="rId30" Type="http://schemas.openxmlformats.org/officeDocument/2006/relationships/oleObject" Target="embeddings/oleObject11.bin"/><Relationship Id="rId31" Type="http://schemas.openxmlformats.org/officeDocument/2006/relationships/image" Target="media/image12.emf"/><Relationship Id="rId32" Type="http://schemas.openxmlformats.org/officeDocument/2006/relationships/oleObject" Target="embeddings/oleObject12.bin"/><Relationship Id="rId33" Type="http://schemas.openxmlformats.org/officeDocument/2006/relationships/image" Target="media/image13.emf"/><Relationship Id="rId34" Type="http://schemas.openxmlformats.org/officeDocument/2006/relationships/oleObject" Target="embeddings/oleObject13.bin"/><Relationship Id="rId35" Type="http://schemas.openxmlformats.org/officeDocument/2006/relationships/image" Target="media/image14.emf"/><Relationship Id="rId36" Type="http://schemas.openxmlformats.org/officeDocument/2006/relationships/oleObject" Target="embeddings/oleObject14.bin"/><Relationship Id="rId37" Type="http://schemas.openxmlformats.org/officeDocument/2006/relationships/image" Target="media/image15.emf"/><Relationship Id="rId38" Type="http://schemas.openxmlformats.org/officeDocument/2006/relationships/oleObject" Target="embeddings/oleObject15.bin"/><Relationship Id="rId39" Type="http://schemas.openxmlformats.org/officeDocument/2006/relationships/image" Target="media/image16.emf"/><Relationship Id="rId50" Type="http://schemas.openxmlformats.org/officeDocument/2006/relationships/image" Target="media/image22.emf"/><Relationship Id="rId51" Type="http://schemas.openxmlformats.org/officeDocument/2006/relationships/oleObject" Target="embeddings/oleObject21.bin"/><Relationship Id="rId52" Type="http://schemas.openxmlformats.org/officeDocument/2006/relationships/image" Target="media/image23.emf"/><Relationship Id="rId53" Type="http://schemas.openxmlformats.org/officeDocument/2006/relationships/oleObject" Target="embeddings/oleObject22.bin"/><Relationship Id="rId54" Type="http://schemas.openxmlformats.org/officeDocument/2006/relationships/image" Target="media/image24.emf"/><Relationship Id="rId55" Type="http://schemas.openxmlformats.org/officeDocument/2006/relationships/image" Target="media/image25.emf"/><Relationship Id="rId56" Type="http://schemas.openxmlformats.org/officeDocument/2006/relationships/image" Target="media/image26.emf"/><Relationship Id="rId57" Type="http://schemas.openxmlformats.org/officeDocument/2006/relationships/oleObject" Target="embeddings/oleObject23.bin"/><Relationship Id="rId58" Type="http://schemas.openxmlformats.org/officeDocument/2006/relationships/image" Target="media/image27.emf"/><Relationship Id="rId59" Type="http://schemas.openxmlformats.org/officeDocument/2006/relationships/oleObject" Target="embeddings/oleObject24.bin"/><Relationship Id="rId70" Type="http://schemas.openxmlformats.org/officeDocument/2006/relationships/image" Target="media/image34.emf"/><Relationship Id="rId71" Type="http://schemas.openxmlformats.org/officeDocument/2006/relationships/oleObject" Target="embeddings/oleObject29.bin"/><Relationship Id="rId72" Type="http://schemas.openxmlformats.org/officeDocument/2006/relationships/image" Target="media/image35.emf"/><Relationship Id="rId73" Type="http://schemas.openxmlformats.org/officeDocument/2006/relationships/oleObject" Target="embeddings/oleObject30.bin"/><Relationship Id="rId74" Type="http://schemas.openxmlformats.org/officeDocument/2006/relationships/image" Target="media/image36.emf"/><Relationship Id="rId75" Type="http://schemas.openxmlformats.org/officeDocument/2006/relationships/oleObject" Target="embeddings/oleObject31.bin"/><Relationship Id="rId76" Type="http://schemas.openxmlformats.org/officeDocument/2006/relationships/image" Target="media/image37.emf"/><Relationship Id="rId77" Type="http://schemas.openxmlformats.org/officeDocument/2006/relationships/oleObject" Target="embeddings/oleObject32.bin"/><Relationship Id="rId78" Type="http://schemas.openxmlformats.org/officeDocument/2006/relationships/image" Target="media/image38.emf"/><Relationship Id="rId79" Type="http://schemas.openxmlformats.org/officeDocument/2006/relationships/oleObject" Target="embeddings/oleObject33.bin"/><Relationship Id="rId20" Type="http://schemas.openxmlformats.org/officeDocument/2006/relationships/oleObject" Target="embeddings/oleObject6.bin"/><Relationship Id="rId21" Type="http://schemas.openxmlformats.org/officeDocument/2006/relationships/image" Target="media/image7.emf"/><Relationship Id="rId22" Type="http://schemas.openxmlformats.org/officeDocument/2006/relationships/oleObject" Target="embeddings/oleObject7.bin"/><Relationship Id="rId23" Type="http://schemas.openxmlformats.org/officeDocument/2006/relationships/image" Target="media/image8.emf"/><Relationship Id="rId24" Type="http://schemas.openxmlformats.org/officeDocument/2006/relationships/oleObject" Target="embeddings/oleObject8.bin"/><Relationship Id="rId25" Type="http://schemas.openxmlformats.org/officeDocument/2006/relationships/image" Target="media/image9.emf"/><Relationship Id="rId26" Type="http://schemas.openxmlformats.org/officeDocument/2006/relationships/oleObject" Target="embeddings/oleObject9.bin"/><Relationship Id="rId27" Type="http://schemas.openxmlformats.org/officeDocument/2006/relationships/image" Target="media/image10.emf"/><Relationship Id="rId28" Type="http://schemas.openxmlformats.org/officeDocument/2006/relationships/oleObject" Target="embeddings/oleObject10.bin"/><Relationship Id="rId29" Type="http://schemas.openxmlformats.org/officeDocument/2006/relationships/image" Target="media/image11.emf"/><Relationship Id="rId40" Type="http://schemas.openxmlformats.org/officeDocument/2006/relationships/image" Target="media/image17.emf"/><Relationship Id="rId41" Type="http://schemas.openxmlformats.org/officeDocument/2006/relationships/oleObject" Target="embeddings/oleObject16.bin"/><Relationship Id="rId42" Type="http://schemas.openxmlformats.org/officeDocument/2006/relationships/image" Target="media/image18.emf"/><Relationship Id="rId43" Type="http://schemas.openxmlformats.org/officeDocument/2006/relationships/oleObject" Target="embeddings/oleObject17.bin"/><Relationship Id="rId44" Type="http://schemas.openxmlformats.org/officeDocument/2006/relationships/image" Target="media/image19.emf"/><Relationship Id="rId45" Type="http://schemas.openxmlformats.org/officeDocument/2006/relationships/oleObject" Target="embeddings/oleObject18.bin"/><Relationship Id="rId46" Type="http://schemas.openxmlformats.org/officeDocument/2006/relationships/image" Target="media/image20.emf"/><Relationship Id="rId47" Type="http://schemas.openxmlformats.org/officeDocument/2006/relationships/oleObject" Target="embeddings/oleObject19.bin"/><Relationship Id="rId48" Type="http://schemas.openxmlformats.org/officeDocument/2006/relationships/image" Target="media/image21.emf"/><Relationship Id="rId49" Type="http://schemas.openxmlformats.org/officeDocument/2006/relationships/oleObject" Target="embeddings/oleObject20.bin"/><Relationship Id="rId60" Type="http://schemas.openxmlformats.org/officeDocument/2006/relationships/image" Target="media/image28.emf"/><Relationship Id="rId61" Type="http://schemas.openxmlformats.org/officeDocument/2006/relationships/image" Target="media/image29.emf"/><Relationship Id="rId62" Type="http://schemas.openxmlformats.org/officeDocument/2006/relationships/oleObject" Target="embeddings/oleObject25.bin"/><Relationship Id="rId63" Type="http://schemas.openxmlformats.org/officeDocument/2006/relationships/image" Target="media/image30.emf"/><Relationship Id="rId64" Type="http://schemas.openxmlformats.org/officeDocument/2006/relationships/image" Target="media/image31.emf"/><Relationship Id="rId65" Type="http://schemas.openxmlformats.org/officeDocument/2006/relationships/oleObject" Target="embeddings/oleObject26.bin"/><Relationship Id="rId66" Type="http://schemas.openxmlformats.org/officeDocument/2006/relationships/image" Target="media/image32.emf"/><Relationship Id="rId67" Type="http://schemas.openxmlformats.org/officeDocument/2006/relationships/oleObject" Target="embeddings/oleObject27.bin"/><Relationship Id="rId68" Type="http://schemas.openxmlformats.org/officeDocument/2006/relationships/image" Target="media/image33.emf"/><Relationship Id="rId69" Type="http://schemas.openxmlformats.org/officeDocument/2006/relationships/oleObject" Target="embeddings/oleObject28.bin"/><Relationship Id="rId80" Type="http://schemas.openxmlformats.org/officeDocument/2006/relationships/image" Target="media/image39.emf"/><Relationship Id="rId81" Type="http://schemas.openxmlformats.org/officeDocument/2006/relationships/oleObject" Target="embeddings/oleObject34.bin"/><Relationship Id="rId82" Type="http://schemas.openxmlformats.org/officeDocument/2006/relationships/image" Target="media/image40.emf"/><Relationship Id="rId83" Type="http://schemas.openxmlformats.org/officeDocument/2006/relationships/oleObject" Target="embeddings/oleObject35.bin"/><Relationship Id="rId84" Type="http://schemas.openxmlformats.org/officeDocument/2006/relationships/footer" Target="footer1.xml"/><Relationship Id="rId85" Type="http://schemas.openxmlformats.org/officeDocument/2006/relationships/fontTable" Target="fontTable.xm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opernicusTemplates\Free-Form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pernicus_Word_templat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4B029-6DE7-F24B-8D1C-C0188C50D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\CopernicusTemplates\Free-Forms\Blank.dotm</Template>
  <TotalTime>3</TotalTime>
  <Pages>12</Pages>
  <Words>3481</Words>
  <Characters>19846</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Blank</vt:lpstr>
    </vt:vector>
  </TitlesOfParts>
  <Company>Copernicus Gesellschaft mbH</Company>
  <LinksUpToDate>false</LinksUpToDate>
  <CharactersWithSpaces>23281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Martin Rasmussen</dc:creator>
  <cp:lastModifiedBy>Steve 0219</cp:lastModifiedBy>
  <cp:revision>3</cp:revision>
  <cp:lastPrinted>2016-02-01T07:21:00Z</cp:lastPrinted>
  <dcterms:created xsi:type="dcterms:W3CDTF">2021-11-03T02:28:00Z</dcterms:created>
  <dcterms:modified xsi:type="dcterms:W3CDTF">2021-11-03T02:31:00Z</dcterms:modified>
</cp:coreProperties>
</file>